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9792E">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合肥兴泰创业投资管理有限公司</w:t>
      </w:r>
    </w:p>
    <w:p w14:paraId="2D2607DB">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固定资产（办公用空调）处置竞价公告</w:t>
      </w:r>
    </w:p>
    <w:p w14:paraId="566C9EA2">
      <w:pPr>
        <w:rPr>
          <w:rFonts w:ascii="仿宋_GB2312" w:hAnsi="仿宋_GB2312" w:eastAsia="仿宋_GB2312" w:cs="仿宋_GB2312"/>
          <w:sz w:val="28"/>
          <w:szCs w:val="28"/>
        </w:rPr>
      </w:pPr>
    </w:p>
    <w:p w14:paraId="67A0C1FA">
      <w:pPr>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兹有</w:t>
      </w:r>
      <w:r>
        <w:rPr>
          <w:rFonts w:hint="eastAsia" w:ascii="仿宋_GB2312" w:hAnsi="仿宋_GB2312" w:eastAsia="仿宋_GB2312" w:cs="仿宋_GB2312"/>
          <w:sz w:val="28"/>
          <w:szCs w:val="28"/>
          <w:u w:val="single"/>
        </w:rPr>
        <w:t>合肥兴泰创业投资管理有限公司</w:t>
      </w:r>
      <w:r>
        <w:rPr>
          <w:rFonts w:hint="eastAsia" w:ascii="仿宋_GB2312" w:hAnsi="仿宋_GB2312" w:eastAsia="仿宋_GB2312" w:cs="仿宋_GB2312"/>
          <w:sz w:val="28"/>
          <w:szCs w:val="28"/>
        </w:rPr>
        <w:t>因公司工作需要，处置一批固定资产（办公用空调），即将进行公开竞价处理，现面向社会公开邀请意向受让人对本项目进行一次性报价转让处置。</w:t>
      </w:r>
    </w:p>
    <w:p w14:paraId="71867FF8">
      <w:pPr>
        <w:ind w:firstLine="560" w:firstLineChars="200"/>
        <w:rPr>
          <w:rFonts w:ascii="黑体" w:hAnsi="黑体" w:eastAsia="黑体" w:cs="仿宋_GB2312"/>
          <w:sz w:val="28"/>
          <w:szCs w:val="28"/>
        </w:rPr>
      </w:pPr>
      <w:r>
        <w:rPr>
          <w:rFonts w:hint="eastAsia" w:ascii="黑体" w:hAnsi="黑体" w:eastAsia="黑体" w:cs="仿宋_GB2312"/>
          <w:sz w:val="28"/>
          <w:szCs w:val="28"/>
        </w:rPr>
        <w:t>一、标的物基本情况</w:t>
      </w:r>
    </w:p>
    <w:p w14:paraId="18F73318">
      <w:pPr>
        <w:pStyle w:val="6"/>
        <w:spacing w:line="240" w:lineRule="exact"/>
        <w:ind w:left="720" w:right="400" w:firstLine="0" w:firstLineChars="0"/>
        <w:jc w:val="right"/>
        <w:rPr>
          <w:rFonts w:ascii="宋体" w:hAnsi="宋体" w:eastAsia="宋体" w:cs="宋体"/>
          <w:spacing w:val="-2"/>
          <w:szCs w:val="21"/>
          <w:lang w:eastAsia="en-US"/>
        </w:rPr>
      </w:pPr>
      <w:r>
        <w:rPr>
          <w:rFonts w:hint="eastAsia" w:ascii="宋体" w:hAnsi="宋体" w:eastAsia="宋体" w:cs="宋体"/>
          <w:spacing w:val="-2"/>
          <w:szCs w:val="21"/>
          <w:lang w:eastAsia="en-US"/>
        </w:rPr>
        <w:t>单位：元</w:t>
      </w:r>
    </w:p>
    <w:tbl>
      <w:tblPr>
        <w:tblStyle w:val="8"/>
        <w:tblpPr w:leftFromText="180" w:rightFromText="180" w:vertAnchor="text" w:horzAnchor="page" w:tblpXSpec="center" w:tblpY="233"/>
        <w:tblOverlap w:val="never"/>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
        <w:gridCol w:w="956"/>
        <w:gridCol w:w="1511"/>
        <w:gridCol w:w="644"/>
        <w:gridCol w:w="545"/>
        <w:gridCol w:w="1166"/>
        <w:gridCol w:w="934"/>
        <w:gridCol w:w="1022"/>
        <w:gridCol w:w="844"/>
        <w:gridCol w:w="967"/>
      </w:tblGrid>
      <w:tr w14:paraId="7F776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1837307A">
            <w:pPr>
              <w:pStyle w:val="7"/>
              <w:spacing w:before="221" w:line="360" w:lineRule="auto"/>
              <w:jc w:val="center"/>
              <w:rPr>
                <w:rFonts w:hint="default" w:ascii="Times New Roman" w:hAnsi="Times New Roman" w:cs="Times New Roman"/>
              </w:rPr>
            </w:pPr>
            <w:r>
              <w:rPr>
                <w:rFonts w:hint="default" w:ascii="Times New Roman" w:hAnsi="Times New Roman" w:cs="Times New Roman"/>
                <w:b/>
                <w:bCs/>
                <w:spacing w:val="-5"/>
              </w:rPr>
              <w:t>序号</w:t>
            </w:r>
          </w:p>
        </w:tc>
        <w:tc>
          <w:tcPr>
            <w:tcW w:w="956" w:type="dxa"/>
            <w:vAlign w:val="center"/>
          </w:tcPr>
          <w:p w14:paraId="43CB6247">
            <w:pPr>
              <w:pStyle w:val="7"/>
              <w:spacing w:before="223" w:line="360" w:lineRule="auto"/>
              <w:jc w:val="center"/>
              <w:rPr>
                <w:rFonts w:hint="default" w:ascii="Times New Roman" w:hAnsi="Times New Roman" w:cs="Times New Roman"/>
              </w:rPr>
            </w:pPr>
            <w:r>
              <w:rPr>
                <w:rFonts w:hint="default" w:ascii="Times New Roman" w:hAnsi="Times New Roman" w:cs="Times New Roman"/>
                <w:b/>
                <w:bCs/>
                <w:spacing w:val="-5"/>
              </w:rPr>
              <w:t>名称</w:t>
            </w:r>
          </w:p>
        </w:tc>
        <w:tc>
          <w:tcPr>
            <w:tcW w:w="1511" w:type="dxa"/>
            <w:vAlign w:val="center"/>
          </w:tcPr>
          <w:p w14:paraId="6C07788A">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4"/>
              </w:rPr>
              <w:t>规格型号</w:t>
            </w:r>
          </w:p>
        </w:tc>
        <w:tc>
          <w:tcPr>
            <w:tcW w:w="644" w:type="dxa"/>
            <w:vAlign w:val="center"/>
          </w:tcPr>
          <w:p w14:paraId="1C187B74">
            <w:pPr>
              <w:pStyle w:val="7"/>
              <w:spacing w:before="81" w:line="360" w:lineRule="auto"/>
              <w:ind w:left="96"/>
              <w:jc w:val="center"/>
              <w:rPr>
                <w:rFonts w:hint="default" w:ascii="Times New Roman" w:hAnsi="Times New Roman" w:cs="Times New Roman"/>
              </w:rPr>
            </w:pPr>
            <w:r>
              <w:rPr>
                <w:rFonts w:hint="default" w:ascii="Times New Roman" w:hAnsi="Times New Roman" w:cs="Times New Roman"/>
                <w:b/>
                <w:bCs/>
                <w:spacing w:val="-5"/>
              </w:rPr>
              <w:t>计量</w:t>
            </w:r>
          </w:p>
          <w:p w14:paraId="6690E199">
            <w:pPr>
              <w:pStyle w:val="7"/>
              <w:spacing w:before="8" w:line="360" w:lineRule="auto"/>
              <w:ind w:left="96"/>
              <w:jc w:val="center"/>
              <w:rPr>
                <w:rFonts w:hint="default" w:ascii="Times New Roman" w:hAnsi="Times New Roman" w:cs="Times New Roman"/>
              </w:rPr>
            </w:pPr>
            <w:r>
              <w:rPr>
                <w:rFonts w:hint="default" w:ascii="Times New Roman" w:hAnsi="Times New Roman" w:cs="Times New Roman"/>
                <w:b/>
                <w:bCs/>
                <w:spacing w:val="-5"/>
              </w:rPr>
              <w:t>单位</w:t>
            </w:r>
          </w:p>
        </w:tc>
        <w:tc>
          <w:tcPr>
            <w:tcW w:w="545" w:type="dxa"/>
            <w:vAlign w:val="center"/>
          </w:tcPr>
          <w:p w14:paraId="1A76D6F9">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数量</w:t>
            </w:r>
          </w:p>
        </w:tc>
        <w:tc>
          <w:tcPr>
            <w:tcW w:w="1166" w:type="dxa"/>
            <w:vAlign w:val="center"/>
          </w:tcPr>
          <w:p w14:paraId="1A1D7A11">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取得日期</w:t>
            </w:r>
          </w:p>
        </w:tc>
        <w:tc>
          <w:tcPr>
            <w:tcW w:w="934" w:type="dxa"/>
            <w:vAlign w:val="center"/>
          </w:tcPr>
          <w:p w14:paraId="1D96A7E2">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账面原值</w:t>
            </w:r>
          </w:p>
        </w:tc>
        <w:tc>
          <w:tcPr>
            <w:tcW w:w="1022" w:type="dxa"/>
            <w:vAlign w:val="center"/>
          </w:tcPr>
          <w:p w14:paraId="183A1D9F">
            <w:pPr>
              <w:pStyle w:val="7"/>
              <w:spacing w:before="218" w:line="360" w:lineRule="auto"/>
              <w:jc w:val="center"/>
              <w:rPr>
                <w:rFonts w:hint="default" w:ascii="Times New Roman" w:hAnsi="Times New Roman" w:cs="Times New Roman"/>
              </w:rPr>
            </w:pPr>
            <w:r>
              <w:rPr>
                <w:rFonts w:hint="default" w:ascii="Times New Roman" w:hAnsi="Times New Roman" w:cs="Times New Roman"/>
                <w:b/>
                <w:bCs/>
                <w:spacing w:val="-4"/>
              </w:rPr>
              <w:t>评估原值</w:t>
            </w:r>
          </w:p>
        </w:tc>
        <w:tc>
          <w:tcPr>
            <w:tcW w:w="844" w:type="dxa"/>
            <w:vAlign w:val="center"/>
          </w:tcPr>
          <w:p w14:paraId="60CE1B8A">
            <w:pPr>
              <w:pStyle w:val="7"/>
              <w:spacing w:before="220" w:line="360" w:lineRule="auto"/>
              <w:jc w:val="center"/>
              <w:rPr>
                <w:rFonts w:hint="default" w:ascii="Times New Roman" w:hAnsi="Times New Roman" w:cs="Times New Roman"/>
              </w:rPr>
            </w:pPr>
            <w:r>
              <w:rPr>
                <w:rFonts w:hint="default" w:ascii="Times New Roman" w:hAnsi="Times New Roman" w:cs="Times New Roman"/>
                <w:b/>
                <w:bCs/>
                <w:spacing w:val="-5"/>
              </w:rPr>
              <w:t>成新率</w:t>
            </w:r>
          </w:p>
        </w:tc>
        <w:tc>
          <w:tcPr>
            <w:tcW w:w="967" w:type="dxa"/>
            <w:vAlign w:val="center"/>
          </w:tcPr>
          <w:p w14:paraId="5CE89BEB">
            <w:pPr>
              <w:pStyle w:val="7"/>
              <w:spacing w:before="218" w:line="360" w:lineRule="auto"/>
              <w:jc w:val="center"/>
              <w:rPr>
                <w:rFonts w:hint="default" w:ascii="Times New Roman" w:hAnsi="Times New Roman" w:cs="Times New Roman"/>
              </w:rPr>
            </w:pPr>
            <w:r>
              <w:rPr>
                <w:rFonts w:hint="default" w:ascii="Times New Roman" w:hAnsi="Times New Roman" w:cs="Times New Roman"/>
                <w:b/>
                <w:bCs/>
                <w:spacing w:val="-4"/>
              </w:rPr>
              <w:t>评估价值</w:t>
            </w:r>
          </w:p>
        </w:tc>
      </w:tr>
      <w:tr w14:paraId="7C71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1E5CB9FB">
            <w:pPr>
              <w:pStyle w:val="7"/>
              <w:spacing w:before="51" w:line="360" w:lineRule="auto"/>
              <w:jc w:val="center"/>
              <w:rPr>
                <w:rFonts w:hint="default" w:ascii="Times New Roman" w:hAnsi="Times New Roman" w:cs="Times New Roman"/>
              </w:rPr>
            </w:pPr>
            <w:r>
              <w:rPr>
                <w:rFonts w:hint="default" w:ascii="Times New Roman" w:hAnsi="Times New Roman" w:cs="Times New Roman"/>
              </w:rPr>
              <w:t>1</w:t>
            </w:r>
          </w:p>
        </w:tc>
        <w:tc>
          <w:tcPr>
            <w:tcW w:w="956" w:type="dxa"/>
            <w:vAlign w:val="center"/>
          </w:tcPr>
          <w:p w14:paraId="58FB4F4C">
            <w:pPr>
              <w:pStyle w:val="7"/>
              <w:spacing w:before="30" w:line="360" w:lineRule="auto"/>
              <w:ind w:left="9"/>
              <w:jc w:val="center"/>
              <w:rPr>
                <w:rFonts w:hint="default" w:ascii="Times New Roman" w:hAnsi="Times New Roman" w:cs="Times New Roman"/>
              </w:rPr>
            </w:pPr>
            <w:r>
              <w:rPr>
                <w:rFonts w:hint="default" w:ascii="Times New Roman" w:hAnsi="Times New Roman" w:cs="Times New Roman"/>
                <w:spacing w:val="2"/>
              </w:rPr>
              <w:t>空调柜机</w:t>
            </w:r>
          </w:p>
        </w:tc>
        <w:tc>
          <w:tcPr>
            <w:tcW w:w="1511" w:type="dxa"/>
            <w:vAlign w:val="center"/>
          </w:tcPr>
          <w:p w14:paraId="0491A6F2">
            <w:pPr>
              <w:pStyle w:val="7"/>
              <w:spacing w:before="31" w:line="360" w:lineRule="auto"/>
              <w:jc w:val="center"/>
              <w:rPr>
                <w:rFonts w:hint="default" w:ascii="Times New Roman" w:hAnsi="Times New Roman" w:cs="Times New Roman"/>
              </w:rPr>
            </w:pPr>
            <w:r>
              <w:rPr>
                <w:rFonts w:hint="default" w:ascii="Times New Roman" w:hAnsi="Times New Roman" w:cs="Times New Roman"/>
                <w:spacing w:val="-1"/>
              </w:rPr>
              <w:t>美的KFR-72LW</w:t>
            </w:r>
          </w:p>
        </w:tc>
        <w:tc>
          <w:tcPr>
            <w:tcW w:w="644" w:type="dxa"/>
            <w:vAlign w:val="center"/>
          </w:tcPr>
          <w:p w14:paraId="510543F4">
            <w:pPr>
              <w:pStyle w:val="7"/>
              <w:spacing w:before="32" w:line="360" w:lineRule="auto"/>
              <w:ind w:left="193"/>
              <w:jc w:val="center"/>
              <w:rPr>
                <w:rFonts w:hint="default" w:ascii="Times New Roman" w:hAnsi="Times New Roman" w:cs="Times New Roman"/>
              </w:rPr>
            </w:pPr>
            <w:r>
              <w:rPr>
                <w:rFonts w:hint="default" w:ascii="Times New Roman" w:hAnsi="Times New Roman" w:cs="Times New Roman"/>
              </w:rPr>
              <w:t>台</w:t>
            </w:r>
          </w:p>
        </w:tc>
        <w:tc>
          <w:tcPr>
            <w:tcW w:w="545" w:type="dxa"/>
            <w:vAlign w:val="center"/>
          </w:tcPr>
          <w:p w14:paraId="4DEAF0CC">
            <w:pPr>
              <w:pStyle w:val="7"/>
              <w:spacing w:before="51" w:line="360" w:lineRule="auto"/>
              <w:jc w:val="center"/>
              <w:rPr>
                <w:rFonts w:hint="default" w:ascii="Times New Roman" w:hAnsi="Times New Roman" w:cs="Times New Roman"/>
              </w:rPr>
            </w:pPr>
            <w:r>
              <w:rPr>
                <w:rFonts w:hint="default" w:ascii="Times New Roman" w:hAnsi="Times New Roman" w:cs="Times New Roman"/>
                <w:spacing w:val="-5"/>
              </w:rPr>
              <w:t>1.00</w:t>
            </w:r>
          </w:p>
        </w:tc>
        <w:tc>
          <w:tcPr>
            <w:tcW w:w="1166" w:type="dxa"/>
            <w:vAlign w:val="center"/>
          </w:tcPr>
          <w:p w14:paraId="40B399ED">
            <w:pPr>
              <w:pStyle w:val="7"/>
              <w:spacing w:before="51" w:line="360" w:lineRule="auto"/>
              <w:jc w:val="center"/>
              <w:rPr>
                <w:rFonts w:hint="default" w:ascii="Times New Roman" w:hAnsi="Times New Roman" w:cs="Times New Roman"/>
              </w:rPr>
            </w:pPr>
            <w:r>
              <w:rPr>
                <w:rFonts w:hint="default" w:ascii="Times New Roman" w:hAnsi="Times New Roman" w:cs="Times New Roman"/>
                <w:spacing w:val="-1"/>
              </w:rPr>
              <w:t>2021.12.30</w:t>
            </w:r>
          </w:p>
        </w:tc>
        <w:tc>
          <w:tcPr>
            <w:tcW w:w="934" w:type="dxa"/>
            <w:vAlign w:val="center"/>
          </w:tcPr>
          <w:p w14:paraId="692A3F68">
            <w:pPr>
              <w:pStyle w:val="7"/>
              <w:spacing w:before="26" w:line="360" w:lineRule="auto"/>
              <w:ind w:right="13"/>
              <w:jc w:val="center"/>
              <w:rPr>
                <w:rFonts w:hint="default" w:ascii="Times New Roman" w:hAnsi="Times New Roman" w:cs="Times New Roman"/>
                <w:highlight w:val="none"/>
              </w:rPr>
            </w:pPr>
            <w:r>
              <w:rPr>
                <w:rFonts w:hint="default" w:ascii="Times New Roman" w:hAnsi="Times New Roman" w:cs="Times New Roman"/>
                <w:spacing w:val="-2"/>
                <w:highlight w:val="none"/>
              </w:rPr>
              <w:t>6,224.00</w:t>
            </w:r>
          </w:p>
        </w:tc>
        <w:tc>
          <w:tcPr>
            <w:tcW w:w="1022" w:type="dxa"/>
            <w:vAlign w:val="center"/>
          </w:tcPr>
          <w:p w14:paraId="2AB29143">
            <w:pPr>
              <w:pStyle w:val="7"/>
              <w:spacing w:before="26" w:line="360" w:lineRule="auto"/>
              <w:ind w:right="10"/>
              <w:jc w:val="center"/>
              <w:rPr>
                <w:rFonts w:hint="default" w:ascii="Times New Roman" w:hAnsi="Times New Roman" w:cs="Times New Roman"/>
                <w:highlight w:val="none"/>
              </w:rPr>
            </w:pPr>
            <w:r>
              <w:rPr>
                <w:rFonts w:hint="default" w:ascii="Times New Roman" w:hAnsi="Times New Roman" w:cs="Times New Roman"/>
                <w:spacing w:val="-1"/>
                <w:highlight w:val="none"/>
              </w:rPr>
              <w:t>4,335.40</w:t>
            </w:r>
          </w:p>
        </w:tc>
        <w:tc>
          <w:tcPr>
            <w:tcW w:w="844" w:type="dxa"/>
            <w:vAlign w:val="center"/>
          </w:tcPr>
          <w:p w14:paraId="62906710">
            <w:pPr>
              <w:pStyle w:val="7"/>
              <w:spacing w:before="51" w:line="360" w:lineRule="auto"/>
              <w:jc w:val="center"/>
              <w:rPr>
                <w:rFonts w:hint="default" w:ascii="Times New Roman" w:hAnsi="Times New Roman" w:cs="Times New Roman"/>
                <w:highlight w:val="none"/>
              </w:rPr>
            </w:pPr>
            <w:r>
              <w:rPr>
                <w:rFonts w:hint="default" w:ascii="Times New Roman" w:hAnsi="Times New Roman" w:cs="Times New Roman"/>
                <w:spacing w:val="-2"/>
                <w:highlight w:val="none"/>
              </w:rPr>
              <w:t>28.00%</w:t>
            </w:r>
          </w:p>
        </w:tc>
        <w:tc>
          <w:tcPr>
            <w:tcW w:w="967" w:type="dxa"/>
            <w:vAlign w:val="center"/>
          </w:tcPr>
          <w:p w14:paraId="336F9AC3">
            <w:pPr>
              <w:pStyle w:val="7"/>
              <w:spacing w:before="26" w:line="360" w:lineRule="auto"/>
              <w:jc w:val="center"/>
              <w:rPr>
                <w:rFonts w:hint="default" w:ascii="Times New Roman" w:hAnsi="Times New Roman" w:cs="Times New Roman"/>
              </w:rPr>
            </w:pPr>
            <w:r>
              <w:rPr>
                <w:rFonts w:hint="default" w:ascii="Times New Roman" w:hAnsi="Times New Roman" w:cs="Times New Roman"/>
                <w:spacing w:val="-3"/>
              </w:rPr>
              <w:t>1,213.91</w:t>
            </w:r>
          </w:p>
        </w:tc>
      </w:tr>
      <w:tr w14:paraId="2D07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7EEDCBE4">
            <w:pPr>
              <w:pStyle w:val="7"/>
              <w:spacing w:before="63" w:line="360" w:lineRule="auto"/>
              <w:jc w:val="center"/>
              <w:rPr>
                <w:rFonts w:hint="default" w:ascii="Times New Roman" w:hAnsi="Times New Roman" w:cs="Times New Roman"/>
                <w:lang w:eastAsia="zh-CN"/>
              </w:rPr>
            </w:pPr>
            <w:r>
              <w:rPr>
                <w:rFonts w:hint="default" w:ascii="Times New Roman" w:hAnsi="Times New Roman" w:cs="Times New Roman"/>
                <w:lang w:eastAsia="zh-CN"/>
              </w:rPr>
              <w:t>2</w:t>
            </w:r>
          </w:p>
        </w:tc>
        <w:tc>
          <w:tcPr>
            <w:tcW w:w="956" w:type="dxa"/>
            <w:vAlign w:val="center"/>
          </w:tcPr>
          <w:p w14:paraId="2412DD70">
            <w:pPr>
              <w:pStyle w:val="7"/>
              <w:spacing w:before="41" w:line="360" w:lineRule="auto"/>
              <w:ind w:left="9"/>
              <w:jc w:val="center"/>
              <w:rPr>
                <w:rFonts w:hint="default" w:ascii="Times New Roman" w:hAnsi="Times New Roman" w:cs="Times New Roman"/>
              </w:rPr>
            </w:pPr>
            <w:r>
              <w:rPr>
                <w:rFonts w:hint="default" w:ascii="Times New Roman" w:hAnsi="Times New Roman" w:cs="Times New Roman"/>
                <w:spacing w:val="2"/>
              </w:rPr>
              <w:t>空调挂机</w:t>
            </w:r>
          </w:p>
        </w:tc>
        <w:tc>
          <w:tcPr>
            <w:tcW w:w="1511" w:type="dxa"/>
            <w:vAlign w:val="center"/>
          </w:tcPr>
          <w:p w14:paraId="0025B798">
            <w:pPr>
              <w:pStyle w:val="7"/>
              <w:spacing w:before="42" w:line="360" w:lineRule="auto"/>
              <w:jc w:val="center"/>
              <w:rPr>
                <w:rFonts w:hint="default" w:ascii="Times New Roman" w:hAnsi="Times New Roman" w:cs="Times New Roman"/>
              </w:rPr>
            </w:pPr>
            <w:r>
              <w:rPr>
                <w:rFonts w:hint="default" w:ascii="Times New Roman" w:hAnsi="Times New Roman" w:cs="Times New Roman"/>
                <w:spacing w:val="-1"/>
              </w:rPr>
              <w:t>格力KFR-35GW</w:t>
            </w:r>
          </w:p>
        </w:tc>
        <w:tc>
          <w:tcPr>
            <w:tcW w:w="644" w:type="dxa"/>
            <w:vAlign w:val="center"/>
          </w:tcPr>
          <w:p w14:paraId="5A6C392C">
            <w:pPr>
              <w:pStyle w:val="7"/>
              <w:spacing w:before="44" w:line="360" w:lineRule="auto"/>
              <w:ind w:left="193"/>
              <w:jc w:val="center"/>
              <w:rPr>
                <w:rFonts w:hint="default" w:ascii="Times New Roman" w:hAnsi="Times New Roman" w:cs="Times New Roman"/>
              </w:rPr>
            </w:pPr>
            <w:r>
              <w:rPr>
                <w:rFonts w:hint="default" w:ascii="Times New Roman" w:hAnsi="Times New Roman" w:cs="Times New Roman"/>
              </w:rPr>
              <w:t>台</w:t>
            </w:r>
          </w:p>
        </w:tc>
        <w:tc>
          <w:tcPr>
            <w:tcW w:w="545" w:type="dxa"/>
            <w:vAlign w:val="center"/>
          </w:tcPr>
          <w:p w14:paraId="741D17A2">
            <w:pPr>
              <w:pStyle w:val="7"/>
              <w:spacing w:before="63" w:line="360" w:lineRule="auto"/>
              <w:jc w:val="center"/>
              <w:rPr>
                <w:rFonts w:hint="default" w:ascii="Times New Roman" w:hAnsi="Times New Roman" w:cs="Times New Roman"/>
              </w:rPr>
            </w:pPr>
            <w:r>
              <w:rPr>
                <w:rFonts w:hint="default" w:ascii="Times New Roman" w:hAnsi="Times New Roman" w:cs="Times New Roman"/>
                <w:spacing w:val="-5"/>
              </w:rPr>
              <w:t>1.00</w:t>
            </w:r>
          </w:p>
        </w:tc>
        <w:tc>
          <w:tcPr>
            <w:tcW w:w="1166" w:type="dxa"/>
            <w:vAlign w:val="center"/>
          </w:tcPr>
          <w:p w14:paraId="32BD0BF8">
            <w:pPr>
              <w:pStyle w:val="7"/>
              <w:spacing w:before="63" w:line="360" w:lineRule="auto"/>
              <w:jc w:val="center"/>
              <w:rPr>
                <w:rFonts w:hint="default" w:ascii="Times New Roman" w:hAnsi="Times New Roman" w:cs="Times New Roman"/>
              </w:rPr>
            </w:pPr>
            <w:r>
              <w:rPr>
                <w:rFonts w:hint="default" w:ascii="Times New Roman" w:hAnsi="Times New Roman" w:cs="Times New Roman"/>
                <w:spacing w:val="-2"/>
              </w:rPr>
              <w:t>2023.4.17</w:t>
            </w:r>
          </w:p>
        </w:tc>
        <w:tc>
          <w:tcPr>
            <w:tcW w:w="934" w:type="dxa"/>
            <w:vAlign w:val="center"/>
          </w:tcPr>
          <w:p w14:paraId="48196B6D">
            <w:pPr>
              <w:pStyle w:val="7"/>
              <w:spacing w:before="39" w:line="360" w:lineRule="auto"/>
              <w:ind w:right="14"/>
              <w:jc w:val="center"/>
              <w:rPr>
                <w:rFonts w:hint="default" w:ascii="Times New Roman" w:hAnsi="Times New Roman" w:cs="Times New Roman"/>
                <w:highlight w:val="none"/>
              </w:rPr>
            </w:pPr>
            <w:r>
              <w:rPr>
                <w:rFonts w:hint="default" w:ascii="Times New Roman" w:hAnsi="Times New Roman" w:cs="Times New Roman"/>
                <w:spacing w:val="-2"/>
                <w:highlight w:val="none"/>
              </w:rPr>
              <w:t>2,500.00</w:t>
            </w:r>
          </w:p>
        </w:tc>
        <w:tc>
          <w:tcPr>
            <w:tcW w:w="1022" w:type="dxa"/>
            <w:vAlign w:val="center"/>
          </w:tcPr>
          <w:p w14:paraId="5462C5ED">
            <w:pPr>
              <w:pStyle w:val="7"/>
              <w:spacing w:before="39" w:line="360" w:lineRule="auto"/>
              <w:ind w:right="13"/>
              <w:jc w:val="center"/>
              <w:rPr>
                <w:rFonts w:hint="default" w:ascii="Times New Roman" w:hAnsi="Times New Roman" w:cs="Times New Roman"/>
                <w:highlight w:val="none"/>
              </w:rPr>
            </w:pPr>
            <w:r>
              <w:rPr>
                <w:rFonts w:hint="default" w:ascii="Times New Roman" w:hAnsi="Times New Roman" w:cs="Times New Roman"/>
                <w:spacing w:val="-2"/>
                <w:highlight w:val="none"/>
              </w:rPr>
              <w:t>2,963.72</w:t>
            </w:r>
          </w:p>
        </w:tc>
        <w:tc>
          <w:tcPr>
            <w:tcW w:w="844" w:type="dxa"/>
            <w:vAlign w:val="center"/>
          </w:tcPr>
          <w:p w14:paraId="342DE676">
            <w:pPr>
              <w:pStyle w:val="7"/>
              <w:spacing w:before="63" w:line="360" w:lineRule="auto"/>
              <w:jc w:val="center"/>
              <w:rPr>
                <w:rFonts w:hint="default" w:ascii="Times New Roman" w:hAnsi="Times New Roman" w:cs="Times New Roman"/>
                <w:highlight w:val="none"/>
              </w:rPr>
            </w:pPr>
            <w:r>
              <w:rPr>
                <w:rFonts w:hint="default" w:ascii="Times New Roman" w:hAnsi="Times New Roman" w:cs="Times New Roman"/>
                <w:spacing w:val="-2"/>
                <w:highlight w:val="none"/>
              </w:rPr>
              <w:t>54.00%</w:t>
            </w:r>
          </w:p>
        </w:tc>
        <w:tc>
          <w:tcPr>
            <w:tcW w:w="967" w:type="dxa"/>
            <w:vAlign w:val="center"/>
          </w:tcPr>
          <w:p w14:paraId="22882025">
            <w:pPr>
              <w:pStyle w:val="7"/>
              <w:spacing w:before="39" w:line="360" w:lineRule="auto"/>
              <w:jc w:val="center"/>
              <w:rPr>
                <w:rFonts w:hint="default" w:ascii="Times New Roman" w:hAnsi="Times New Roman" w:cs="Times New Roman"/>
              </w:rPr>
            </w:pPr>
            <w:r>
              <w:rPr>
                <w:rFonts w:hint="default" w:ascii="Times New Roman" w:hAnsi="Times New Roman" w:cs="Times New Roman"/>
                <w:spacing w:val="-3"/>
              </w:rPr>
              <w:t>1,600.41</w:t>
            </w:r>
          </w:p>
        </w:tc>
      </w:tr>
      <w:tr w14:paraId="4D37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1DC181E2">
            <w:pPr>
              <w:pStyle w:val="7"/>
              <w:spacing w:before="65" w:line="360" w:lineRule="auto"/>
              <w:jc w:val="center"/>
              <w:rPr>
                <w:rFonts w:hint="default" w:ascii="Times New Roman" w:hAnsi="Times New Roman" w:cs="Times New Roman"/>
                <w:lang w:eastAsia="zh-CN"/>
              </w:rPr>
            </w:pPr>
            <w:r>
              <w:rPr>
                <w:rFonts w:hint="default" w:ascii="Times New Roman" w:hAnsi="Times New Roman" w:cs="Times New Roman"/>
                <w:lang w:eastAsia="zh-CN"/>
              </w:rPr>
              <w:t>3</w:t>
            </w:r>
          </w:p>
        </w:tc>
        <w:tc>
          <w:tcPr>
            <w:tcW w:w="956" w:type="dxa"/>
            <w:vAlign w:val="center"/>
          </w:tcPr>
          <w:p w14:paraId="384B64DF">
            <w:pPr>
              <w:pStyle w:val="7"/>
              <w:spacing w:before="42" w:line="360" w:lineRule="auto"/>
              <w:ind w:left="9"/>
              <w:jc w:val="center"/>
              <w:rPr>
                <w:rFonts w:hint="default" w:ascii="Times New Roman" w:hAnsi="Times New Roman" w:cs="Times New Roman"/>
              </w:rPr>
            </w:pPr>
            <w:r>
              <w:rPr>
                <w:rFonts w:hint="default" w:ascii="Times New Roman" w:hAnsi="Times New Roman" w:cs="Times New Roman"/>
                <w:spacing w:val="2"/>
              </w:rPr>
              <w:t>空调挂机</w:t>
            </w:r>
          </w:p>
        </w:tc>
        <w:tc>
          <w:tcPr>
            <w:tcW w:w="1511" w:type="dxa"/>
            <w:vAlign w:val="center"/>
          </w:tcPr>
          <w:p w14:paraId="63C49C4B">
            <w:pPr>
              <w:pStyle w:val="7"/>
              <w:spacing w:before="43" w:line="360" w:lineRule="auto"/>
              <w:jc w:val="center"/>
              <w:rPr>
                <w:rFonts w:hint="default" w:ascii="Times New Roman" w:hAnsi="Times New Roman" w:cs="Times New Roman"/>
              </w:rPr>
            </w:pPr>
            <w:r>
              <w:rPr>
                <w:rFonts w:hint="default" w:ascii="Times New Roman" w:hAnsi="Times New Roman" w:cs="Times New Roman"/>
                <w:spacing w:val="-1"/>
              </w:rPr>
              <w:t>格力KFR-35GW</w:t>
            </w:r>
          </w:p>
        </w:tc>
        <w:tc>
          <w:tcPr>
            <w:tcW w:w="644" w:type="dxa"/>
            <w:vAlign w:val="center"/>
          </w:tcPr>
          <w:p w14:paraId="1169EA9F">
            <w:pPr>
              <w:pStyle w:val="7"/>
              <w:spacing w:before="45" w:line="360" w:lineRule="auto"/>
              <w:ind w:left="193"/>
              <w:jc w:val="center"/>
              <w:rPr>
                <w:rFonts w:hint="default" w:ascii="Times New Roman" w:hAnsi="Times New Roman" w:cs="Times New Roman"/>
              </w:rPr>
            </w:pPr>
            <w:r>
              <w:rPr>
                <w:rFonts w:hint="default" w:ascii="Times New Roman" w:hAnsi="Times New Roman" w:cs="Times New Roman"/>
              </w:rPr>
              <w:t>台</w:t>
            </w:r>
          </w:p>
        </w:tc>
        <w:tc>
          <w:tcPr>
            <w:tcW w:w="545" w:type="dxa"/>
            <w:vAlign w:val="center"/>
          </w:tcPr>
          <w:p w14:paraId="755A992A">
            <w:pPr>
              <w:pStyle w:val="7"/>
              <w:spacing w:before="65" w:line="360" w:lineRule="auto"/>
              <w:jc w:val="center"/>
              <w:rPr>
                <w:rFonts w:hint="default" w:ascii="Times New Roman" w:hAnsi="Times New Roman" w:cs="Times New Roman"/>
              </w:rPr>
            </w:pPr>
            <w:r>
              <w:rPr>
                <w:rFonts w:hint="default" w:ascii="Times New Roman" w:hAnsi="Times New Roman" w:cs="Times New Roman"/>
                <w:spacing w:val="-5"/>
              </w:rPr>
              <w:t>1.00</w:t>
            </w:r>
          </w:p>
        </w:tc>
        <w:tc>
          <w:tcPr>
            <w:tcW w:w="1166" w:type="dxa"/>
            <w:vAlign w:val="center"/>
          </w:tcPr>
          <w:p w14:paraId="149F3F6A">
            <w:pPr>
              <w:pStyle w:val="7"/>
              <w:spacing w:before="45" w:line="360" w:lineRule="auto"/>
              <w:jc w:val="center"/>
              <w:rPr>
                <w:rFonts w:hint="default" w:ascii="Times New Roman" w:hAnsi="Times New Roman" w:cs="Times New Roman"/>
              </w:rPr>
            </w:pPr>
            <w:r>
              <w:rPr>
                <w:rFonts w:hint="default" w:ascii="Times New Roman" w:hAnsi="Times New Roman" w:cs="Times New Roman"/>
                <w:spacing w:val="-2"/>
              </w:rPr>
              <w:t>2023.4.17</w:t>
            </w:r>
          </w:p>
        </w:tc>
        <w:tc>
          <w:tcPr>
            <w:tcW w:w="934" w:type="dxa"/>
            <w:vAlign w:val="center"/>
          </w:tcPr>
          <w:p w14:paraId="7A3AED1A">
            <w:pPr>
              <w:pStyle w:val="7"/>
              <w:spacing w:before="40" w:line="360" w:lineRule="auto"/>
              <w:ind w:right="14"/>
              <w:jc w:val="center"/>
              <w:rPr>
                <w:rFonts w:hint="default" w:ascii="Times New Roman" w:hAnsi="Times New Roman" w:cs="Times New Roman"/>
                <w:highlight w:val="none"/>
              </w:rPr>
            </w:pPr>
            <w:r>
              <w:rPr>
                <w:rFonts w:hint="default" w:ascii="Times New Roman" w:hAnsi="Times New Roman" w:cs="Times New Roman"/>
                <w:spacing w:val="-2"/>
                <w:highlight w:val="none"/>
              </w:rPr>
              <w:t>2,500.00</w:t>
            </w:r>
          </w:p>
        </w:tc>
        <w:tc>
          <w:tcPr>
            <w:tcW w:w="1022" w:type="dxa"/>
            <w:vAlign w:val="center"/>
          </w:tcPr>
          <w:p w14:paraId="2EAA9E1E">
            <w:pPr>
              <w:pStyle w:val="7"/>
              <w:spacing w:before="40" w:line="360" w:lineRule="auto"/>
              <w:ind w:right="13"/>
              <w:jc w:val="center"/>
              <w:rPr>
                <w:rFonts w:hint="default" w:ascii="Times New Roman" w:hAnsi="Times New Roman" w:cs="Times New Roman"/>
                <w:highlight w:val="none"/>
              </w:rPr>
            </w:pPr>
            <w:r>
              <w:rPr>
                <w:rFonts w:hint="default" w:ascii="Times New Roman" w:hAnsi="Times New Roman" w:cs="Times New Roman"/>
                <w:spacing w:val="-2"/>
                <w:highlight w:val="none"/>
              </w:rPr>
              <w:t>2,963.72</w:t>
            </w:r>
          </w:p>
        </w:tc>
        <w:tc>
          <w:tcPr>
            <w:tcW w:w="844" w:type="dxa"/>
            <w:vAlign w:val="center"/>
          </w:tcPr>
          <w:p w14:paraId="77762135">
            <w:pPr>
              <w:pStyle w:val="7"/>
              <w:spacing w:before="65" w:line="360" w:lineRule="auto"/>
              <w:jc w:val="center"/>
              <w:rPr>
                <w:rFonts w:hint="default" w:ascii="Times New Roman" w:hAnsi="Times New Roman" w:cs="Times New Roman"/>
                <w:highlight w:val="none"/>
              </w:rPr>
            </w:pPr>
            <w:r>
              <w:rPr>
                <w:rFonts w:hint="default" w:ascii="Times New Roman" w:hAnsi="Times New Roman" w:cs="Times New Roman"/>
                <w:spacing w:val="-2"/>
                <w:highlight w:val="none"/>
              </w:rPr>
              <w:t>54.00%</w:t>
            </w:r>
          </w:p>
        </w:tc>
        <w:tc>
          <w:tcPr>
            <w:tcW w:w="967" w:type="dxa"/>
            <w:vAlign w:val="center"/>
          </w:tcPr>
          <w:p w14:paraId="0778C404">
            <w:pPr>
              <w:pStyle w:val="7"/>
              <w:spacing w:before="40" w:line="360" w:lineRule="auto"/>
              <w:jc w:val="center"/>
              <w:rPr>
                <w:rFonts w:hint="default" w:ascii="Times New Roman" w:hAnsi="Times New Roman" w:cs="Times New Roman"/>
              </w:rPr>
            </w:pPr>
            <w:r>
              <w:rPr>
                <w:rFonts w:hint="default" w:ascii="Times New Roman" w:hAnsi="Times New Roman" w:cs="Times New Roman"/>
                <w:spacing w:val="-3"/>
              </w:rPr>
              <w:t>1,600.41</w:t>
            </w:r>
          </w:p>
        </w:tc>
      </w:tr>
      <w:tr w14:paraId="019E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38" w:type="dxa"/>
            <w:vAlign w:val="center"/>
          </w:tcPr>
          <w:p w14:paraId="44F92618">
            <w:pPr>
              <w:spacing w:line="360" w:lineRule="auto"/>
              <w:jc w:val="center"/>
              <w:rPr>
                <w:rFonts w:hint="default" w:ascii="Times New Roman" w:hAnsi="Times New Roman" w:cs="Times New Roman"/>
              </w:rPr>
            </w:pPr>
            <w:r>
              <w:rPr>
                <w:rFonts w:hint="default" w:ascii="Times New Roman" w:hAnsi="Times New Roman" w:cs="Times New Roman"/>
              </w:rPr>
              <w:t>4</w:t>
            </w:r>
          </w:p>
        </w:tc>
        <w:tc>
          <w:tcPr>
            <w:tcW w:w="956" w:type="dxa"/>
            <w:vAlign w:val="center"/>
          </w:tcPr>
          <w:p w14:paraId="3D1A0CFE">
            <w:pPr>
              <w:pStyle w:val="7"/>
              <w:spacing w:before="30" w:line="360" w:lineRule="auto"/>
              <w:jc w:val="center"/>
              <w:rPr>
                <w:rFonts w:hint="default" w:ascii="Times New Roman" w:hAnsi="Times New Roman" w:cs="Times New Roman"/>
                <w:b/>
              </w:rPr>
            </w:pPr>
            <w:r>
              <w:rPr>
                <w:rFonts w:hint="default" w:ascii="Times New Roman" w:hAnsi="Times New Roman" w:cs="Times New Roman"/>
                <w:b/>
                <w:spacing w:val="-3"/>
              </w:rPr>
              <w:t>合计</w:t>
            </w:r>
          </w:p>
        </w:tc>
        <w:tc>
          <w:tcPr>
            <w:tcW w:w="1511" w:type="dxa"/>
            <w:vAlign w:val="center"/>
          </w:tcPr>
          <w:p w14:paraId="6A91221A">
            <w:pPr>
              <w:spacing w:line="360" w:lineRule="auto"/>
              <w:jc w:val="center"/>
              <w:rPr>
                <w:rFonts w:hint="default" w:ascii="Times New Roman" w:hAnsi="Times New Roman" w:cs="Times New Roman"/>
              </w:rPr>
            </w:pPr>
          </w:p>
        </w:tc>
        <w:tc>
          <w:tcPr>
            <w:tcW w:w="644" w:type="dxa"/>
            <w:vAlign w:val="center"/>
          </w:tcPr>
          <w:p w14:paraId="6BDCE923">
            <w:pPr>
              <w:spacing w:line="360" w:lineRule="auto"/>
              <w:jc w:val="center"/>
              <w:rPr>
                <w:rFonts w:hint="default" w:ascii="Times New Roman" w:hAnsi="Times New Roman" w:cs="Times New Roman"/>
              </w:rPr>
            </w:pPr>
          </w:p>
        </w:tc>
        <w:tc>
          <w:tcPr>
            <w:tcW w:w="545" w:type="dxa"/>
            <w:vAlign w:val="center"/>
          </w:tcPr>
          <w:p w14:paraId="03FE4538">
            <w:pPr>
              <w:spacing w:line="360" w:lineRule="auto"/>
              <w:jc w:val="center"/>
              <w:rPr>
                <w:rFonts w:hint="default" w:ascii="Times New Roman" w:hAnsi="Times New Roman" w:cs="Times New Roman"/>
              </w:rPr>
            </w:pPr>
          </w:p>
        </w:tc>
        <w:tc>
          <w:tcPr>
            <w:tcW w:w="1166" w:type="dxa"/>
            <w:vAlign w:val="center"/>
          </w:tcPr>
          <w:p w14:paraId="00FD0886">
            <w:pPr>
              <w:pStyle w:val="7"/>
              <w:spacing w:before="25" w:line="360" w:lineRule="auto"/>
              <w:ind w:right="18"/>
              <w:jc w:val="both"/>
              <w:rPr>
                <w:rFonts w:hint="default" w:ascii="Times New Roman" w:hAnsi="Times New Roman" w:eastAsia="宋体" w:cs="Times New Roman"/>
                <w:b/>
                <w:lang w:val="en-US" w:eastAsia="zh-CN"/>
              </w:rPr>
            </w:pPr>
          </w:p>
        </w:tc>
        <w:tc>
          <w:tcPr>
            <w:tcW w:w="934" w:type="dxa"/>
            <w:vAlign w:val="center"/>
          </w:tcPr>
          <w:p w14:paraId="7B176EA0">
            <w:pPr>
              <w:pStyle w:val="7"/>
              <w:spacing w:before="25" w:line="360" w:lineRule="auto"/>
              <w:ind w:right="18"/>
              <w:jc w:val="both"/>
              <w:rPr>
                <w:rFonts w:hint="default" w:ascii="Times New Roman" w:hAnsi="Times New Roman" w:eastAsia="宋体" w:cs="Times New Roman"/>
                <w:b/>
                <w:lang w:val="en-US" w:eastAsia="zh-CN"/>
              </w:rPr>
            </w:pPr>
            <w:r>
              <w:rPr>
                <w:rFonts w:hint="default" w:ascii="Times New Roman" w:hAnsi="Times New Roman" w:eastAsia="宋体" w:cs="Times New Roman"/>
                <w:b/>
                <w:lang w:val="en-US" w:eastAsia="zh-CN"/>
              </w:rPr>
              <w:t>11，224</w:t>
            </w:r>
          </w:p>
        </w:tc>
        <w:tc>
          <w:tcPr>
            <w:tcW w:w="1022" w:type="dxa"/>
            <w:vAlign w:val="center"/>
          </w:tcPr>
          <w:p w14:paraId="4D216E22">
            <w:pPr>
              <w:pStyle w:val="7"/>
              <w:spacing w:before="25" w:line="360" w:lineRule="auto"/>
              <w:ind w:right="18"/>
              <w:jc w:val="both"/>
              <w:rPr>
                <w:rFonts w:hint="default" w:ascii="Times New Roman" w:hAnsi="Times New Roman" w:eastAsia="宋体" w:cs="Times New Roman"/>
                <w:b/>
                <w:lang w:val="en-US" w:eastAsia="zh-CN"/>
              </w:rPr>
            </w:pPr>
            <w:r>
              <w:rPr>
                <w:rFonts w:hint="default" w:ascii="Times New Roman" w:hAnsi="Times New Roman" w:eastAsia="宋体" w:cs="Times New Roman"/>
                <w:b/>
                <w:lang w:val="en-US" w:eastAsia="zh-CN"/>
              </w:rPr>
              <w:t>10</w:t>
            </w:r>
            <w:r>
              <w:rPr>
                <w:rFonts w:hint="eastAsia" w:ascii="Times New Roman" w:hAnsi="Times New Roman" w:cs="Times New Roman"/>
                <w:b/>
                <w:lang w:val="en-US" w:eastAsia="zh-CN"/>
              </w:rPr>
              <w:t>，</w:t>
            </w:r>
            <w:r>
              <w:rPr>
                <w:rFonts w:hint="default" w:ascii="Times New Roman" w:hAnsi="Times New Roman" w:eastAsia="宋体" w:cs="Times New Roman"/>
                <w:b/>
                <w:lang w:val="en-US" w:eastAsia="zh-CN"/>
              </w:rPr>
              <w:t>262.84</w:t>
            </w:r>
          </w:p>
        </w:tc>
        <w:tc>
          <w:tcPr>
            <w:tcW w:w="844" w:type="dxa"/>
            <w:vAlign w:val="center"/>
          </w:tcPr>
          <w:p w14:paraId="4384E099">
            <w:pPr>
              <w:spacing w:line="360" w:lineRule="auto"/>
              <w:jc w:val="center"/>
              <w:rPr>
                <w:rFonts w:hint="default" w:ascii="Times New Roman" w:hAnsi="Times New Roman" w:cs="Times New Roman"/>
              </w:rPr>
            </w:pPr>
          </w:p>
        </w:tc>
        <w:tc>
          <w:tcPr>
            <w:tcW w:w="967" w:type="dxa"/>
            <w:vAlign w:val="center"/>
          </w:tcPr>
          <w:p w14:paraId="33502FE8">
            <w:pPr>
              <w:pStyle w:val="7"/>
              <w:spacing w:before="25" w:line="360" w:lineRule="auto"/>
              <w:jc w:val="center"/>
              <w:rPr>
                <w:rFonts w:hint="default" w:ascii="Times New Roman" w:hAnsi="Times New Roman" w:cs="Times New Roman"/>
                <w:b/>
              </w:rPr>
            </w:pPr>
            <w:r>
              <w:rPr>
                <w:rFonts w:hint="default" w:ascii="Times New Roman" w:hAnsi="Times New Roman" w:cs="Times New Roman"/>
                <w:b/>
                <w:spacing w:val="-2"/>
                <w:lang w:val="en-US" w:eastAsia="zh-CN"/>
              </w:rPr>
              <w:t>4</w:t>
            </w:r>
            <w:r>
              <w:rPr>
                <w:rFonts w:hint="eastAsia" w:ascii="Times New Roman" w:hAnsi="Times New Roman" w:cs="Times New Roman"/>
                <w:b/>
                <w:spacing w:val="-2"/>
                <w:lang w:val="en-US" w:eastAsia="zh-CN"/>
              </w:rPr>
              <w:t>，</w:t>
            </w:r>
            <w:r>
              <w:rPr>
                <w:rFonts w:hint="default" w:ascii="Times New Roman" w:hAnsi="Times New Roman" w:cs="Times New Roman"/>
                <w:b/>
                <w:spacing w:val="-2"/>
                <w:lang w:val="en-US" w:eastAsia="zh-CN"/>
              </w:rPr>
              <w:t>414.73</w:t>
            </w:r>
          </w:p>
        </w:tc>
      </w:tr>
    </w:tbl>
    <w:p w14:paraId="625ADDDB">
      <w:pPr>
        <w:pStyle w:val="6"/>
        <w:ind w:left="720" w:firstLine="0" w:firstLineChars="0"/>
        <w:rPr>
          <w:rFonts w:hint="eastAsia" w:ascii="宋体" w:hAnsi="宋体" w:eastAsia="宋体" w:cs="宋体"/>
          <w:b/>
          <w:spacing w:val="-1"/>
          <w:szCs w:val="21"/>
        </w:rPr>
      </w:pPr>
      <w:r>
        <w:rPr>
          <w:rFonts w:hint="eastAsia" w:ascii="宋体" w:hAnsi="宋体" w:eastAsia="宋体" w:cs="宋体"/>
          <w:b/>
          <w:spacing w:val="-1"/>
          <w:szCs w:val="21"/>
          <w:lang w:eastAsia="en-US"/>
        </w:rPr>
        <w:t>注‌：上述评估价值由安徽安和资产评估有限责任公司评估确定。</w:t>
      </w:r>
      <w:r>
        <w:rPr>
          <w:rFonts w:hint="eastAsia" w:ascii="宋体" w:hAnsi="宋体" w:eastAsia="宋体" w:cs="宋体"/>
          <w:b/>
          <w:spacing w:val="-1"/>
          <w:szCs w:val="21"/>
        </w:rPr>
        <w:t>竞价人须对本次竞价处理的所有标的物进行报价且报价不得低于评估价值，不得有选择性或对部分标的物进行报价。</w:t>
      </w:r>
    </w:p>
    <w:p w14:paraId="35EC0070">
      <w:pPr>
        <w:pStyle w:val="6"/>
        <w:ind w:left="720" w:firstLine="0" w:firstLineChars="0"/>
        <w:rPr>
          <w:rFonts w:hint="eastAsia" w:ascii="宋体" w:hAnsi="宋体" w:eastAsia="宋体" w:cs="宋体"/>
          <w:b/>
          <w:spacing w:val="-1"/>
          <w:szCs w:val="21"/>
        </w:rPr>
      </w:pPr>
    </w:p>
    <w:p w14:paraId="762CC37B">
      <w:pPr>
        <w:ind w:firstLine="560" w:firstLineChars="200"/>
        <w:rPr>
          <w:rFonts w:hint="eastAsia" w:ascii="黑体" w:hAnsi="黑体" w:eastAsia="黑体" w:cs="仿宋_GB2312"/>
          <w:sz w:val="28"/>
          <w:szCs w:val="28"/>
          <w:lang w:eastAsia="zh-CN"/>
        </w:rPr>
      </w:pPr>
      <w:r>
        <w:rPr>
          <w:rFonts w:hint="eastAsia" w:ascii="黑体" w:hAnsi="黑体" w:eastAsia="黑体" w:cs="仿宋_GB2312"/>
          <w:sz w:val="28"/>
          <w:szCs w:val="28"/>
        </w:rPr>
        <w:t>二、标的物现场勘</w:t>
      </w:r>
      <w:r>
        <w:rPr>
          <w:rFonts w:hint="eastAsia" w:ascii="黑体" w:hAnsi="黑体" w:eastAsia="黑体" w:cs="仿宋_GB2312"/>
          <w:sz w:val="28"/>
          <w:szCs w:val="28"/>
          <w:lang w:val="en-US" w:eastAsia="zh-CN"/>
        </w:rPr>
        <w:t>查</w:t>
      </w:r>
    </w:p>
    <w:p w14:paraId="0C148F24">
      <w:pPr>
        <w:pStyle w:val="2"/>
        <w:shd w:val="clear" w:color="auto" w:fill="FFFFFF"/>
        <w:wordWrap w:val="0"/>
        <w:spacing w:before="0" w:beforeAutospacing="0" w:after="0" w:afterAutospacing="0" w:line="270" w:lineRule="atLeas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sz w:val="28"/>
          <w:szCs w:val="28"/>
        </w:rPr>
        <w:t>意向报价人应当于</w:t>
      </w:r>
      <w:r>
        <w:rPr>
          <w:rFonts w:hint="eastAsia" w:ascii="仿宋_GB2312" w:hAnsi="仿宋_GB2312" w:eastAsia="仿宋_GB2312" w:cs="仿宋_GB2312"/>
          <w:b/>
          <w:sz w:val="28"/>
          <w:szCs w:val="28"/>
          <w:u w:val="single"/>
        </w:rPr>
        <w:t>2025年6月26日上午9：00-12:00，</w:t>
      </w:r>
      <w:r>
        <w:rPr>
          <w:rFonts w:hint="eastAsia" w:ascii="仿宋_GB2312" w:hAnsi="仿宋_GB2312" w:eastAsia="仿宋_GB2312" w:cs="仿宋_GB2312"/>
          <w:b/>
          <w:sz w:val="28"/>
          <w:szCs w:val="28"/>
          <w:u w:val="single"/>
          <w:lang w:eastAsia="zh-CN"/>
        </w:rPr>
        <w:t>14:00</w:t>
      </w:r>
      <w:r>
        <w:rPr>
          <w:rFonts w:hint="eastAsia" w:ascii="仿宋_GB2312" w:hAnsi="仿宋_GB2312" w:eastAsia="仿宋_GB2312" w:cs="仿宋_GB2312"/>
          <w:b/>
          <w:sz w:val="28"/>
          <w:szCs w:val="28"/>
          <w:u w:val="single"/>
        </w:rPr>
        <w:t>-17:30</w:t>
      </w:r>
      <w:r>
        <w:rPr>
          <w:rFonts w:hint="eastAsia" w:ascii="仿宋_GB2312" w:hAnsi="仿宋_GB2312" w:eastAsia="仿宋_GB2312" w:cs="仿宋_GB2312"/>
          <w:sz w:val="28"/>
          <w:szCs w:val="28"/>
        </w:rPr>
        <w:t>，其他时间概不接待。请携带个人有效证件前往</w:t>
      </w:r>
      <w:r>
        <w:rPr>
          <w:rFonts w:hint="eastAsia" w:ascii="仿宋_GB2312" w:hAnsi="仿宋_GB2312" w:eastAsia="仿宋_GB2312" w:cs="仿宋_GB2312"/>
          <w:b/>
          <w:sz w:val="28"/>
          <w:szCs w:val="28"/>
          <w:u w:val="single"/>
        </w:rPr>
        <w:t>合肥市高新区云飞路基金大厦A座5楼</w:t>
      </w:r>
      <w:r>
        <w:rPr>
          <w:rFonts w:hint="eastAsia" w:ascii="仿宋_GB2312" w:hAnsi="仿宋_GB2312" w:eastAsia="仿宋_GB2312" w:cs="仿宋_GB2312"/>
          <w:sz w:val="28"/>
          <w:szCs w:val="28"/>
        </w:rPr>
        <w:t>对标的物进行现场勘察(联系人:</w:t>
      </w:r>
      <w:r>
        <w:rPr>
          <w:rFonts w:hint="eastAsia" w:ascii="仿宋_GB2312" w:hAnsi="仿宋_GB2312" w:eastAsia="仿宋_GB2312" w:cs="仿宋_GB2312"/>
          <w:b/>
          <w:bCs/>
          <w:sz w:val="28"/>
          <w:szCs w:val="28"/>
          <w:u w:val="single"/>
        </w:rPr>
        <w:t>卢秀朋</w:t>
      </w:r>
      <w:r>
        <w:rPr>
          <w:rFonts w:hint="eastAsia" w:ascii="仿宋_GB2312" w:hAnsi="仿宋_GB2312" w:eastAsia="仿宋_GB2312" w:cs="仿宋_GB2312"/>
          <w:sz w:val="28"/>
          <w:szCs w:val="28"/>
        </w:rPr>
        <w:t>,联系电话:</w:t>
      </w:r>
      <w:r>
        <w:rPr>
          <w:rFonts w:hint="eastAsia" w:ascii="仿宋_GB2312" w:hAnsi="仿宋_GB2312" w:eastAsia="仿宋_GB2312" w:cs="仿宋_GB2312"/>
          <w:b/>
          <w:bCs/>
          <w:sz w:val="28"/>
          <w:szCs w:val="28"/>
          <w:u w:val="single"/>
        </w:rPr>
        <w:t>18019578886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rPr>
        <w:t>本次项目为统一组织意向报价人现场查勘，过时不候；每家单位参与查勘的人员仅限</w:t>
      </w:r>
      <w:r>
        <w:rPr>
          <w:rFonts w:hint="eastAsia" w:ascii="仿宋_GB2312" w:hAnsi="仿宋_GB2312" w:eastAsia="仿宋_GB2312" w:cs="仿宋_GB2312"/>
          <w:b/>
          <w:kern w:val="2"/>
          <w:sz w:val="28"/>
          <w:szCs w:val="28"/>
          <w:u w:val="single"/>
        </w:rPr>
        <w:t>1人</w:t>
      </w:r>
      <w:r>
        <w:rPr>
          <w:rFonts w:hint="eastAsia" w:ascii="仿宋_GB2312" w:hAnsi="仿宋_GB2312" w:eastAsia="仿宋_GB2312" w:cs="仿宋_GB2312"/>
          <w:kern w:val="2"/>
          <w:sz w:val="28"/>
          <w:szCs w:val="28"/>
        </w:rPr>
        <w:t>，查勘时可拍摄照片或视频录像。</w:t>
      </w:r>
    </w:p>
    <w:p w14:paraId="752E3178">
      <w:pPr>
        <w:ind w:firstLine="645"/>
        <w:rPr>
          <w:rFonts w:ascii="仿宋_GB2312" w:hAnsi="仿宋_GB2312" w:eastAsia="仿宋_GB2312" w:cs="仿宋_GB2312"/>
          <w:b/>
          <w:sz w:val="28"/>
          <w:szCs w:val="28"/>
        </w:rPr>
      </w:pPr>
      <w:r>
        <w:rPr>
          <w:rFonts w:hint="eastAsia" w:ascii="仿宋_GB2312" w:hAnsi="仿宋_GB2312" w:eastAsia="仿宋_GB2312" w:cs="仿宋_GB2312"/>
          <w:b/>
          <w:sz w:val="28"/>
          <w:szCs w:val="28"/>
        </w:rPr>
        <w:t>未参加标的物现场查勘的，不得以不了解标的物为由拒绝报价，且视为认同标的物数量和现状，参与竞价后不得对标的物的数量和现状提出异议。</w:t>
      </w:r>
    </w:p>
    <w:p w14:paraId="2FA05286">
      <w:pPr>
        <w:ind w:firstLine="560" w:firstLineChars="200"/>
        <w:rPr>
          <w:rFonts w:ascii="黑体" w:hAnsi="黑体" w:eastAsia="黑体" w:cs="仿宋_GB2312"/>
          <w:sz w:val="28"/>
          <w:szCs w:val="28"/>
        </w:rPr>
      </w:pPr>
      <w:r>
        <w:rPr>
          <w:rFonts w:hint="eastAsia" w:ascii="黑体" w:hAnsi="黑体" w:eastAsia="黑体" w:cs="仿宋_GB2312"/>
          <w:sz w:val="28"/>
          <w:szCs w:val="28"/>
        </w:rPr>
        <w:t>三、竞价须知</w:t>
      </w:r>
    </w:p>
    <w:p w14:paraId="47D720E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1.竞价人必须是具有法人资格的单位，不接受自然人报名。</w:t>
      </w:r>
    </w:p>
    <w:p w14:paraId="0728DE7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竞价人应当在规定的时间及地点参加公开竞价，每家单位仅限一名人员参加现场竞价，须出具盖章的营业执照复印件、承诺函（格式详见附件三）、现场勘察确认表（格式详见附件二）及法人代表授权书原件（格式详见附件一，法人代表参加的无须此件），现</w:t>
      </w:r>
      <w:bookmarkStart w:id="0" w:name="_GoBack"/>
      <w:bookmarkEnd w:id="0"/>
      <w:r>
        <w:rPr>
          <w:rFonts w:hint="eastAsia" w:ascii="仿宋_GB2312" w:hAnsi="仿宋_GB2312" w:eastAsia="仿宋_GB2312" w:cs="仿宋_GB2312"/>
          <w:sz w:val="28"/>
          <w:szCs w:val="28"/>
        </w:rPr>
        <w:t>场核验身份证。</w:t>
      </w:r>
    </w:p>
    <w:p w14:paraId="0359895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3.本项目的交易方式为一次性报价，须递交密封的报价单，报价单格式详见附件四。</w:t>
      </w:r>
    </w:p>
    <w:p w14:paraId="1DAAC4C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报价单递交地点：</w:t>
      </w:r>
      <w:r>
        <w:rPr>
          <w:rFonts w:ascii="仿宋_GB2312" w:hAnsi="仿宋_GB2312" w:eastAsia="仿宋_GB2312" w:cs="仿宋_GB2312"/>
          <w:b/>
          <w:sz w:val="28"/>
          <w:szCs w:val="28"/>
          <w:u w:val="single"/>
        </w:rPr>
        <w:t>合肥市高新区合肥科技创新服务中心</w:t>
      </w:r>
      <w:r>
        <w:rPr>
          <w:rFonts w:hint="eastAsia" w:ascii="仿宋_GB2312" w:hAnsi="仿宋_GB2312" w:eastAsia="仿宋_GB2312" w:cs="仿宋_GB2312"/>
          <w:b/>
          <w:sz w:val="28"/>
          <w:szCs w:val="28"/>
          <w:u w:val="single"/>
        </w:rPr>
        <w:t>B座14楼</w:t>
      </w:r>
    </w:p>
    <w:p w14:paraId="28433DF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报价单接收时间：</w:t>
      </w:r>
      <w:r>
        <w:rPr>
          <w:rFonts w:hint="eastAsia" w:ascii="仿宋_GB2312" w:hAnsi="仿宋_GB2312" w:eastAsia="仿宋_GB2312" w:cs="仿宋_GB2312"/>
          <w:b/>
          <w:sz w:val="28"/>
          <w:szCs w:val="28"/>
          <w:u w:val="single"/>
        </w:rPr>
        <w:t>2025年6月3</w:t>
      </w:r>
      <w:r>
        <w:rPr>
          <w:rFonts w:hint="eastAsia" w:ascii="仿宋_GB2312" w:hAnsi="仿宋_GB2312" w:eastAsia="仿宋_GB2312" w:cs="仿宋_GB2312"/>
          <w:b/>
          <w:sz w:val="28"/>
          <w:szCs w:val="28"/>
          <w:u w:val="single"/>
          <w:lang w:val="en-US" w:eastAsia="zh-CN"/>
        </w:rPr>
        <w:t>0</w:t>
      </w:r>
      <w:r>
        <w:rPr>
          <w:rFonts w:hint="eastAsia" w:ascii="仿宋_GB2312" w:hAnsi="仿宋_GB2312" w:eastAsia="仿宋_GB2312" w:cs="仿宋_GB2312"/>
          <w:b/>
          <w:sz w:val="28"/>
          <w:szCs w:val="28"/>
          <w:u w:val="single"/>
        </w:rPr>
        <w:t>日上午9:00-10：00</w:t>
      </w:r>
      <w:r>
        <w:rPr>
          <w:rFonts w:hint="eastAsia" w:ascii="仿宋_GB2312" w:hAnsi="仿宋_GB2312" w:eastAsia="仿宋_GB2312" w:cs="仿宋_GB2312"/>
          <w:sz w:val="28"/>
          <w:szCs w:val="28"/>
        </w:rPr>
        <w:t>，提前、逾期递交的报价单或不符合规定的报价单恕不接受（报价单须密封且外信封盖有骑缝章）。</w:t>
      </w:r>
    </w:p>
    <w:p w14:paraId="005E569D">
      <w:pPr>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4.开标时间：</w:t>
      </w:r>
      <w:r>
        <w:rPr>
          <w:rFonts w:hint="eastAsia" w:ascii="仿宋_GB2312" w:hAnsi="仿宋_GB2312" w:eastAsia="仿宋_GB2312" w:cs="仿宋_GB2312"/>
          <w:b/>
          <w:sz w:val="28"/>
          <w:szCs w:val="28"/>
          <w:u w:val="single"/>
        </w:rPr>
        <w:t>2025年6月3</w:t>
      </w:r>
      <w:r>
        <w:rPr>
          <w:rFonts w:hint="eastAsia" w:ascii="仿宋_GB2312" w:hAnsi="仿宋_GB2312" w:eastAsia="仿宋_GB2312" w:cs="仿宋_GB2312"/>
          <w:b/>
          <w:sz w:val="28"/>
          <w:szCs w:val="28"/>
          <w:u w:val="single"/>
          <w:lang w:val="en-US" w:eastAsia="zh-CN"/>
        </w:rPr>
        <w:t>0</w:t>
      </w:r>
      <w:r>
        <w:rPr>
          <w:rFonts w:hint="eastAsia" w:ascii="仿宋_GB2312" w:hAnsi="仿宋_GB2312" w:eastAsia="仿宋_GB2312" w:cs="仿宋_GB2312"/>
          <w:b/>
          <w:sz w:val="28"/>
          <w:szCs w:val="28"/>
          <w:u w:val="single"/>
        </w:rPr>
        <w:t>日上午10：00</w:t>
      </w:r>
    </w:p>
    <w:p w14:paraId="0E4F1E2C">
      <w:pPr>
        <w:ind w:firstLine="560" w:firstLineChars="200"/>
        <w:rPr>
          <w:rFonts w:ascii="黑体" w:hAnsi="黑体" w:eastAsia="黑体" w:cs="仿宋_GB2312"/>
          <w:sz w:val="28"/>
          <w:szCs w:val="28"/>
        </w:rPr>
      </w:pPr>
      <w:r>
        <w:rPr>
          <w:rFonts w:hint="eastAsia" w:ascii="黑体" w:hAnsi="黑体" w:eastAsia="黑体" w:cs="仿宋_GB2312"/>
          <w:sz w:val="28"/>
          <w:szCs w:val="28"/>
        </w:rPr>
        <w:t>四、成交原则及方式</w:t>
      </w:r>
    </w:p>
    <w:p w14:paraId="08A0346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1.处置资产竞价处理转让坚持公开、公平、公正、报价最高者成交的原则。如最高报价出现两家或两家以上相同者，则在最高报价人中通过抽签方式确定成交人。</w:t>
      </w:r>
    </w:p>
    <w:p w14:paraId="609F1522">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2.报价单未加盖公章、明显填写错误、报价低于评估价值的，均作无效报价处理。</w:t>
      </w:r>
    </w:p>
    <w:p w14:paraId="7353566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3.通过公开竞价确定成交人后，参与竞价的竞价人授权代表均须对竞价结果签字确认。</w:t>
      </w:r>
    </w:p>
    <w:p w14:paraId="22531DF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4.竞价成交后，成交人须尽快与</w:t>
      </w:r>
      <w:r>
        <w:rPr>
          <w:rFonts w:hint="eastAsia" w:ascii="仿宋_GB2312" w:hAnsi="仿宋_GB2312" w:eastAsia="仿宋_GB2312" w:cs="仿宋_GB2312"/>
          <w:sz w:val="28"/>
          <w:szCs w:val="28"/>
          <w:u w:val="single"/>
        </w:rPr>
        <w:t>合肥兴泰创业投资管理有限公司</w:t>
      </w:r>
      <w:r>
        <w:rPr>
          <w:rFonts w:hint="eastAsia" w:ascii="仿宋_GB2312" w:hAnsi="仿宋_GB2312" w:eastAsia="仿宋_GB2312" w:cs="仿宋_GB2312"/>
          <w:sz w:val="28"/>
          <w:szCs w:val="28"/>
        </w:rPr>
        <w:t>签订转让合同，并按要求履约。</w:t>
      </w:r>
    </w:p>
    <w:p w14:paraId="2868A102">
      <w:pPr>
        <w:ind w:firstLine="560" w:firstLineChars="200"/>
        <w:rPr>
          <w:rFonts w:ascii="黑体" w:hAnsi="黑体" w:eastAsia="黑体" w:cs="仿宋_GB2312"/>
          <w:sz w:val="28"/>
          <w:szCs w:val="28"/>
        </w:rPr>
      </w:pPr>
      <w:r>
        <w:rPr>
          <w:rFonts w:hint="eastAsia" w:ascii="黑体" w:hAnsi="黑体" w:eastAsia="黑体" w:cs="仿宋_GB2312"/>
          <w:sz w:val="28"/>
          <w:szCs w:val="28"/>
        </w:rPr>
        <w:t>五、重要说明</w:t>
      </w:r>
    </w:p>
    <w:p w14:paraId="2A491976">
      <w:pPr>
        <w:pStyle w:val="2"/>
        <w:shd w:val="clear" w:color="auto" w:fill="FFFFFF"/>
        <w:wordWrap w:val="0"/>
        <w:spacing w:before="0" w:beforeAutospacing="0" w:after="0" w:afterAutospacing="0" w:line="27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1.所有处置资产由成交人自行负责拆除、整理、清点及清运（含拆除过程中产生的</w:t>
      </w:r>
      <w:r>
        <w:rPr>
          <w:rFonts w:hint="eastAsia" w:ascii="仿宋_GB2312" w:hAnsi="仿宋_GB2312" w:eastAsia="仿宋_GB2312" w:cs="仿宋_GB2312"/>
          <w:sz w:val="28"/>
          <w:szCs w:val="28"/>
          <w:lang w:val="en-US" w:eastAsia="zh-CN"/>
        </w:rPr>
        <w:t>废弃物</w:t>
      </w:r>
      <w:r>
        <w:rPr>
          <w:rFonts w:hint="eastAsia" w:ascii="仿宋_GB2312" w:hAnsi="仿宋_GB2312" w:eastAsia="仿宋_GB2312" w:cs="仿宋_GB2312"/>
          <w:sz w:val="28"/>
          <w:szCs w:val="28"/>
        </w:rPr>
        <w:t>等）；</w:t>
      </w:r>
    </w:p>
    <w:p w14:paraId="56D45632">
      <w:pPr>
        <w:pStyle w:val="2"/>
        <w:shd w:val="clear" w:color="auto" w:fill="FFFFFF"/>
        <w:wordWrap w:val="0"/>
        <w:spacing w:before="0" w:beforeAutospacing="0" w:after="0" w:afterAutospacing="0" w:line="27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2.拆除整理完毕后的物品需制作书面清单（具体样式按转让人要求），清单须成交人签字盖章确认，所有手续完毕后，相关处置资产方可搬离；</w:t>
      </w:r>
    </w:p>
    <w:p w14:paraId="7FD6FF5C">
      <w:pPr>
        <w:pStyle w:val="2"/>
        <w:shd w:val="clear" w:color="auto" w:fill="FFFFFF"/>
        <w:wordWrap w:val="0"/>
        <w:spacing w:before="0" w:beforeAutospacing="0" w:after="0" w:afterAutospacing="0" w:line="27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3.竞价人需充分考虑清点工作量及物品交接等情况，相关因素需要考虑到报价中；</w:t>
      </w:r>
    </w:p>
    <w:p w14:paraId="53531033">
      <w:pPr>
        <w:pStyle w:val="2"/>
        <w:shd w:val="clear" w:color="auto" w:fill="FFFFFF"/>
        <w:wordWrap w:val="0"/>
        <w:spacing w:before="0" w:beforeAutospacing="0" w:after="0" w:afterAutospacing="0" w:line="27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4.确定成交人后，成交人需在转让合同签订后10个工作日内将资产竞买款项一次性打入转让方指定的账户。</w:t>
      </w:r>
    </w:p>
    <w:p w14:paraId="40B41206">
      <w:pPr>
        <w:pStyle w:val="2"/>
        <w:shd w:val="clear" w:color="auto" w:fill="FFFFFF"/>
        <w:wordWrap w:val="0"/>
        <w:spacing w:before="0" w:beforeAutospacing="0" w:after="0" w:afterAutospacing="0" w:line="270" w:lineRule="atLeast"/>
        <w:rPr>
          <w:rFonts w:ascii="仿宋_GB2312" w:hAnsi="仿宋_GB2312" w:eastAsia="仿宋_GB2312" w:cs="仿宋_GB2312"/>
          <w:sz w:val="28"/>
          <w:szCs w:val="28"/>
        </w:rPr>
      </w:pPr>
    </w:p>
    <w:p w14:paraId="4DEACB44">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合肥兴泰创业投资管理有限公司</w:t>
      </w:r>
    </w:p>
    <w:p w14:paraId="5C3FDB78">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202</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23</w:t>
      </w:r>
      <w:r>
        <w:rPr>
          <w:rFonts w:hint="eastAsia" w:ascii="仿宋_GB2312" w:hAnsi="仿宋_GB2312" w:eastAsia="仿宋_GB2312" w:cs="仿宋_GB2312"/>
          <w:kern w:val="0"/>
          <w:sz w:val="28"/>
          <w:szCs w:val="28"/>
        </w:rPr>
        <w:t xml:space="preserve">日 </w:t>
      </w:r>
    </w:p>
    <w:p w14:paraId="0A69FA0E">
      <w:pPr>
        <w:widowControl/>
        <w:jc w:val="left"/>
        <w:rPr>
          <w:rFonts w:ascii="黑体" w:hAnsi="黑体" w:eastAsia="黑体" w:cs="仿宋_GB2312"/>
          <w:sz w:val="28"/>
          <w:szCs w:val="28"/>
        </w:rPr>
      </w:pPr>
      <w:r>
        <w:rPr>
          <w:rFonts w:hint="eastAsia" w:ascii="仿宋_GB2312" w:hAnsi="仿宋_GB2312" w:eastAsia="仿宋_GB2312" w:cs="仿宋_GB2312"/>
          <w:sz w:val="28"/>
          <w:szCs w:val="28"/>
        </w:rPr>
        <w:br w:type="page"/>
      </w:r>
      <w:r>
        <w:rPr>
          <w:rFonts w:hint="eastAsia" w:ascii="黑体" w:hAnsi="黑体" w:eastAsia="黑体" w:cs="仿宋_GB2312"/>
          <w:sz w:val="28"/>
          <w:szCs w:val="28"/>
        </w:rPr>
        <w:t>附件一：</w:t>
      </w:r>
    </w:p>
    <w:p w14:paraId="1E9FD43D">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法人代表授权书</w:t>
      </w:r>
    </w:p>
    <w:p w14:paraId="788C6761">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致：合肥兴泰创业投资管理有限公司</w:t>
      </w:r>
    </w:p>
    <w:p w14:paraId="0FEED5E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我单位特授权</w:t>
      </w:r>
      <w:r>
        <w:rPr>
          <w:rFonts w:hint="eastAsia" w:ascii="仿宋_GB2312" w:hAnsi="仿宋_GB2312" w:eastAsia="仿宋_GB2312" w:cs="仿宋_GB2312"/>
          <w:sz w:val="28"/>
          <w:szCs w:val="28"/>
          <w:lang w:eastAsia="zh-CN"/>
        </w:rPr>
        <w:t>委派</w:t>
      </w:r>
      <w:r>
        <w:rPr>
          <w:rFonts w:hint="eastAsia" w:ascii="仿宋_GB2312" w:hAnsi="仿宋_GB2312" w:eastAsia="仿宋_GB2312" w:cs="仿宋_GB2312"/>
          <w:sz w:val="28"/>
          <w:szCs w:val="28"/>
        </w:rPr>
        <w:t>:以下为本单位现职员工，作为我方唯一全权代表，亲自出席参与贵方承办的以下项目的竞价，对该代表人所提供、签署的一切文书均视为符合我方的合法利益和真实意愿，我方愿为其行为承担全部责任。</w:t>
      </w:r>
    </w:p>
    <w:p w14:paraId="0781CAA0">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14:paraId="3D21457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授权代表姓名：</w:t>
      </w:r>
      <w:r>
        <w:rPr>
          <w:rFonts w:hint="eastAsia" w:ascii="仿宋_GB2312" w:hAnsi="仿宋_GB2312" w:eastAsia="仿宋_GB2312" w:cs="仿宋_GB2312"/>
          <w:sz w:val="28"/>
          <w:szCs w:val="28"/>
          <w:u w:val="single"/>
        </w:rPr>
        <w:t xml:space="preserve">                            </w:t>
      </w:r>
    </w:p>
    <w:p w14:paraId="7E8E700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p>
    <w:p w14:paraId="348889CB">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14:paraId="7C90FE0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授权权限:全权代表本单位参与上述项目的竞价全程，按照业主的要求处理相关事宜;负责提供与签署确认一切文书资料，以及向贵方递交的任何补充承诺。</w:t>
      </w:r>
    </w:p>
    <w:p w14:paraId="6B7E5E8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有效期限:自本单位盖章之日起生效至本项目合同签订完毕。</w:t>
      </w:r>
    </w:p>
    <w:p w14:paraId="64A55AD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特此授权证明。</w:t>
      </w:r>
    </w:p>
    <w:p w14:paraId="454EA279">
      <w:pPr>
        <w:ind w:firstLine="560" w:firstLineChars="200"/>
        <w:rPr>
          <w:rFonts w:ascii="仿宋_GB2312" w:hAnsi="仿宋_GB2312" w:eastAsia="仿宋_GB2312" w:cs="仿宋_GB2312"/>
          <w:sz w:val="28"/>
          <w:szCs w:val="28"/>
        </w:rPr>
      </w:pPr>
    </w:p>
    <w:p w14:paraId="3C88AC55">
      <w:pPr>
        <w:ind w:firstLine="560" w:firstLineChars="200"/>
        <w:rPr>
          <w:rFonts w:ascii="仿宋_GB2312" w:hAnsi="仿宋_GB2312" w:eastAsia="仿宋_GB2312" w:cs="仿宋_GB2312"/>
          <w:sz w:val="28"/>
          <w:szCs w:val="28"/>
        </w:rPr>
      </w:pPr>
    </w:p>
    <w:p w14:paraId="5AA98FBD">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竞价人名称（盖章）：</w:t>
      </w:r>
    </w:p>
    <w:p w14:paraId="51FC4069">
      <w:pPr>
        <w:ind w:right="1280" w:firstLine="560" w:firstLineChars="200"/>
        <w:rPr>
          <w:rFonts w:ascii="仿宋_GB2312" w:hAnsi="仿宋_GB2312" w:eastAsia="仿宋_GB2312" w:cs="仿宋_GB2312"/>
          <w:sz w:val="28"/>
          <w:szCs w:val="28"/>
        </w:rPr>
      </w:pPr>
    </w:p>
    <w:p w14:paraId="76246C08">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w:t>
      </w:r>
    </w:p>
    <w:p w14:paraId="2EA211B4">
      <w:pPr>
        <w:ind w:right="1280" w:firstLine="560" w:firstLineChars="200"/>
        <w:rPr>
          <w:rFonts w:ascii="仿宋_GB2312" w:hAnsi="仿宋_GB2312" w:eastAsia="仿宋_GB2312" w:cs="仿宋_GB2312"/>
          <w:sz w:val="28"/>
          <w:szCs w:val="28"/>
        </w:rPr>
      </w:pPr>
    </w:p>
    <w:p w14:paraId="213B4F7C">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F5A8B4C">
      <w:pPr>
        <w:ind w:right="1280" w:firstLine="560" w:firstLineChars="200"/>
        <w:rPr>
          <w:rFonts w:ascii="仿宋_GB2312" w:hAnsi="仿宋_GB2312" w:eastAsia="仿宋_GB2312" w:cs="仿宋_GB2312"/>
          <w:sz w:val="28"/>
          <w:szCs w:val="28"/>
        </w:rPr>
      </w:pPr>
    </w:p>
    <w:p w14:paraId="1D265ED6">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69A143B">
      <w:pPr>
        <w:ind w:right="1280"/>
        <w:rPr>
          <w:rFonts w:ascii="黑体" w:hAnsi="黑体" w:eastAsia="黑体" w:cs="仿宋_GB2312"/>
          <w:sz w:val="28"/>
          <w:szCs w:val="28"/>
        </w:rPr>
      </w:pPr>
      <w:r>
        <w:rPr>
          <w:rFonts w:hint="eastAsia" w:ascii="黑体" w:hAnsi="黑体" w:eastAsia="黑体" w:cs="仿宋_GB2312"/>
          <w:sz w:val="28"/>
          <w:szCs w:val="28"/>
        </w:rPr>
        <w:t>附件二：</w:t>
      </w:r>
    </w:p>
    <w:p w14:paraId="0A8D5676">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现场勘察确认函</w:t>
      </w:r>
    </w:p>
    <w:p w14:paraId="73B5BFE8">
      <w:pPr>
        <w:ind w:right="1280"/>
        <w:rPr>
          <w:rFonts w:hint="eastAsia" w:ascii="仿宋_GB2312" w:hAnsi="仿宋_GB2312" w:eastAsia="仿宋_GB2312" w:cs="仿宋_GB2312"/>
          <w:sz w:val="28"/>
          <w:szCs w:val="28"/>
          <w:u w:val="single"/>
        </w:rPr>
      </w:pPr>
    </w:p>
    <w:p w14:paraId="14B6AD13">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致：合肥兴泰创业投资管理有限公司</w:t>
      </w:r>
    </w:p>
    <w:p w14:paraId="02C91F5C">
      <w:pPr>
        <w:spacing w:line="576"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我方已对</w:t>
      </w:r>
      <w:r>
        <w:rPr>
          <w:rFonts w:hint="eastAsia" w:ascii="仿宋_GB2312" w:hAnsi="仿宋_GB2312" w:eastAsia="仿宋_GB2312" w:cs="仿宋_GB2312"/>
          <w:sz w:val="28"/>
          <w:szCs w:val="28"/>
          <w:u w:val="single"/>
        </w:rPr>
        <w:t xml:space="preserve"> 合肥兴泰创业投资管理有限公司固定资产（办公用空调）处置</w:t>
      </w:r>
      <w:r>
        <w:rPr>
          <w:rFonts w:hint="eastAsia" w:ascii="仿宋_GB2312" w:hAnsi="仿宋_GB2312" w:eastAsia="仿宋_GB2312" w:cs="仿宋_GB2312"/>
          <w:sz w:val="28"/>
          <w:szCs w:val="28"/>
        </w:rPr>
        <w:t>项目的标的物进行了</w:t>
      </w:r>
      <w:r>
        <w:rPr>
          <w:rFonts w:hint="eastAsia" w:ascii="仿宋_GB2312" w:hAnsi="仿宋_GB2312" w:eastAsia="仿宋_GB2312" w:cs="仿宋_GB2312"/>
          <w:sz w:val="28"/>
          <w:szCs w:val="28"/>
          <w:lang w:eastAsia="zh-CN"/>
        </w:rPr>
        <w:t>现场勘查</w:t>
      </w:r>
      <w:r>
        <w:rPr>
          <w:rFonts w:hint="eastAsia" w:ascii="仿宋_GB2312" w:hAnsi="仿宋_GB2312" w:eastAsia="仿宋_GB2312" w:cs="仿宋_GB2312"/>
          <w:sz w:val="28"/>
          <w:szCs w:val="28"/>
        </w:rPr>
        <w:t>，现就有关事项确认如下:</w:t>
      </w:r>
    </w:p>
    <w:p w14:paraId="4409FB2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一、贵方就本次转让标的的范围标识清晰，且对现场踏勘给予了全面的配合，包括但不限于:完全向我方展示了转让标的，对我方提出的疑问进行了详细的解答等。</w:t>
      </w:r>
    </w:p>
    <w:p w14:paraId="1B739CA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二、我方对转让标的的情况进行了详细、全面</w:t>
      </w:r>
      <w:r>
        <w:rPr>
          <w:rFonts w:hint="eastAsia" w:ascii="仿宋_GB2312" w:hAnsi="仿宋_GB2312" w:eastAsia="仿宋_GB2312" w:cs="仿宋_GB2312"/>
          <w:sz w:val="28"/>
          <w:szCs w:val="28"/>
          <w:lang w:eastAsia="zh-CN"/>
        </w:rPr>
        <w:t>地</w:t>
      </w:r>
      <w:r>
        <w:rPr>
          <w:rFonts w:hint="eastAsia" w:ascii="仿宋_GB2312" w:hAnsi="仿宋_GB2312" w:eastAsia="仿宋_GB2312" w:cs="仿宋_GB2312"/>
          <w:sz w:val="28"/>
          <w:szCs w:val="28"/>
        </w:rPr>
        <w:t>查看，已完全了解转让标的实际现状（包括但不限于质量、数量、型号/标识、厂家、价值、效用等），接受转让标的现状。</w:t>
      </w:r>
    </w:p>
    <w:p w14:paraId="30FD45F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三、自我方盖章确认之日起，不得再以转让标的（包括但不限于质量、数量、型号/标识、厂家、价值、效用等）存在差异或瑕疵为由拒绝履行签署回收合同或支付交易价款等相关义务。</w:t>
      </w:r>
    </w:p>
    <w:p w14:paraId="5A5F50BB">
      <w:pPr>
        <w:ind w:right="1280"/>
        <w:rPr>
          <w:rFonts w:ascii="仿宋_GB2312" w:hAnsi="仿宋_GB2312" w:eastAsia="仿宋_GB2312" w:cs="仿宋_GB2312"/>
          <w:sz w:val="28"/>
          <w:szCs w:val="28"/>
        </w:rPr>
      </w:pPr>
    </w:p>
    <w:p w14:paraId="47DED944">
      <w:pPr>
        <w:ind w:right="12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法人代表或授权人（签字）：</w:t>
      </w:r>
    </w:p>
    <w:p w14:paraId="389E2A86">
      <w:pPr>
        <w:ind w:right="1280" w:firstLine="560" w:firstLineChars="200"/>
        <w:rPr>
          <w:rFonts w:ascii="仿宋_GB2312" w:hAnsi="仿宋_GB2312" w:eastAsia="仿宋_GB2312" w:cs="仿宋_GB2312"/>
          <w:sz w:val="28"/>
          <w:szCs w:val="28"/>
        </w:rPr>
      </w:pPr>
    </w:p>
    <w:p w14:paraId="4E9744F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7B7DD5EB">
      <w:pPr>
        <w:widowControl/>
        <w:jc w:val="left"/>
        <w:rPr>
          <w:rFonts w:hint="eastAsia" w:ascii="仿宋_GB2312" w:hAnsi="仿宋_GB2312" w:eastAsia="仿宋_GB2312" w:cs="仿宋_GB2312"/>
          <w:sz w:val="28"/>
          <w:szCs w:val="28"/>
        </w:rPr>
      </w:pPr>
    </w:p>
    <w:p w14:paraId="4E8995A0">
      <w:pPr>
        <w:widowControl/>
        <w:jc w:val="left"/>
        <w:rPr>
          <w:rFonts w:hint="eastAsia" w:ascii="仿宋_GB2312" w:hAnsi="仿宋_GB2312" w:eastAsia="仿宋_GB2312" w:cs="仿宋_GB2312"/>
          <w:sz w:val="28"/>
          <w:szCs w:val="28"/>
        </w:rPr>
      </w:pPr>
    </w:p>
    <w:p w14:paraId="3A1063F9">
      <w:pPr>
        <w:widowControl/>
        <w:jc w:val="left"/>
        <w:rPr>
          <w:rFonts w:hint="eastAsia" w:ascii="仿宋_GB2312" w:hAnsi="仿宋_GB2312" w:eastAsia="仿宋_GB2312" w:cs="仿宋_GB2312"/>
          <w:sz w:val="28"/>
          <w:szCs w:val="28"/>
        </w:rPr>
      </w:pPr>
    </w:p>
    <w:p w14:paraId="555A240C">
      <w:pPr>
        <w:widowControl/>
        <w:jc w:val="left"/>
        <w:rPr>
          <w:rFonts w:hint="eastAsia" w:ascii="仿宋_GB2312" w:hAnsi="仿宋_GB2312" w:eastAsia="仿宋_GB2312" w:cs="仿宋_GB2312"/>
          <w:sz w:val="28"/>
          <w:szCs w:val="28"/>
        </w:rPr>
      </w:pPr>
    </w:p>
    <w:p w14:paraId="484891C9">
      <w:pPr>
        <w:ind w:right="1280"/>
        <w:rPr>
          <w:rFonts w:ascii="黑体" w:hAnsi="黑体" w:eastAsia="黑体" w:cs="仿宋_GB2312"/>
          <w:sz w:val="28"/>
          <w:szCs w:val="28"/>
        </w:rPr>
      </w:pPr>
      <w:r>
        <w:rPr>
          <w:rFonts w:hint="eastAsia" w:ascii="黑体" w:hAnsi="黑体" w:eastAsia="黑体" w:cs="仿宋_GB2312"/>
          <w:sz w:val="28"/>
          <w:szCs w:val="28"/>
        </w:rPr>
        <w:t>附件三：</w:t>
      </w:r>
    </w:p>
    <w:p w14:paraId="2025B791">
      <w:pPr>
        <w:pStyle w:val="2"/>
        <w:widowControl/>
        <w:shd w:val="clear" w:color="auto" w:fill="FFFFFF"/>
        <w:spacing w:before="0" w:beforeAutospacing="0" w:after="0" w:afterAutospacing="0"/>
        <w:jc w:val="center"/>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承 诺 函</w:t>
      </w:r>
    </w:p>
    <w:p w14:paraId="3781407F">
      <w:pPr>
        <w:rPr>
          <w:rFonts w:ascii="仿宋_GB2312" w:hAnsi="仿宋_GB2312" w:eastAsia="仿宋_GB2312" w:cs="仿宋_GB2312"/>
          <w:sz w:val="28"/>
          <w:szCs w:val="28"/>
        </w:rPr>
      </w:pPr>
    </w:p>
    <w:p w14:paraId="201E1F5F">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致：合肥兴泰创业投资管理有限公司</w:t>
      </w:r>
    </w:p>
    <w:p w14:paraId="4D25504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我方为对转让公告表示完全响应，遵照转让公告的要求，特此确认并承诺：</w:t>
      </w:r>
    </w:p>
    <w:p w14:paraId="45C52641">
      <w:pPr>
        <w:spacing w:line="576"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1.我方确认，我方已仔细阅读并研究了贵方的</w:t>
      </w:r>
      <w:r>
        <w:rPr>
          <w:rFonts w:hint="eastAsia" w:ascii="仿宋_GB2312" w:hAnsi="仿宋_GB2312" w:eastAsia="仿宋_GB2312" w:cs="仿宋_GB2312"/>
          <w:sz w:val="28"/>
          <w:szCs w:val="28"/>
          <w:u w:val="single"/>
        </w:rPr>
        <w:t>《合肥兴泰创业投资管理有限公司固定资产（办公用空调）项目竞价公告》及其附件</w:t>
      </w:r>
      <w:r>
        <w:rPr>
          <w:rFonts w:hint="eastAsia" w:ascii="仿宋_GB2312" w:hAnsi="仿宋_GB2312" w:eastAsia="仿宋_GB2312" w:cs="仿宋_GB2312"/>
          <w:sz w:val="28"/>
          <w:szCs w:val="28"/>
        </w:rPr>
        <w:t>，我方完全熟悉并遵</w:t>
      </w:r>
    </w:p>
    <w:p w14:paraId="4CE42792">
      <w:pPr>
        <w:spacing w:line="576"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循其中的要求、条款和条件，充分了解标的情况。</w:t>
      </w:r>
    </w:p>
    <w:p w14:paraId="69FE1EF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2.我方确认，我方完全同意竞价公告制定的交易规则。</w:t>
      </w:r>
    </w:p>
    <w:p w14:paraId="621CE13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3.我方保证：我方为参与本项目所提供的材料均为真实、合法、完整，否则承担由此引起的一切经济责任和法律责任。</w:t>
      </w:r>
    </w:p>
    <w:p w14:paraId="27C6FC9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4.我方承诺，完全知晓并接受邀请函及所附转让合同条款的全部内容，当我方被确认为受让方，应于5个工作日内与出让方签订合同，并承诺在合同签订后</w:t>
      </w:r>
      <w:r>
        <w:rPr>
          <w:rFonts w:hint="eastAsia" w:ascii="仿宋_GB2312" w:hAnsi="仿宋_GB2312" w:eastAsia="仿宋_GB2312" w:cs="仿宋_GB2312"/>
          <w:sz w:val="28"/>
          <w:szCs w:val="28"/>
          <w:u w:val="single"/>
        </w:rPr>
        <w:t>5个工作日</w:t>
      </w:r>
      <w:r>
        <w:rPr>
          <w:rFonts w:hint="eastAsia" w:ascii="仿宋_GB2312" w:hAnsi="仿宋_GB2312" w:eastAsia="仿宋_GB2312" w:cs="仿宋_GB2312"/>
          <w:sz w:val="28"/>
          <w:szCs w:val="28"/>
        </w:rPr>
        <w:t>内向出让方指定的账户一次性转入竞买款。如因我方原因导致合同未在规定期限内签订，贵方有权扣除我方已缴纳的保证金作为违反本承诺的违约金。</w:t>
      </w:r>
    </w:p>
    <w:p w14:paraId="616B367D">
      <w:pPr>
        <w:rPr>
          <w:rFonts w:ascii="仿宋_GB2312" w:hAnsi="仿宋_GB2312" w:eastAsia="仿宋_GB2312" w:cs="仿宋_GB2312"/>
          <w:sz w:val="28"/>
          <w:szCs w:val="28"/>
        </w:rPr>
      </w:pPr>
    </w:p>
    <w:p w14:paraId="1B97B24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63D5FC4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竞价人名称（盖章）：</w:t>
      </w:r>
    </w:p>
    <w:p w14:paraId="40585EF6">
      <w:pPr>
        <w:ind w:firstLine="560" w:firstLineChars="200"/>
        <w:rPr>
          <w:rFonts w:ascii="仿宋_GB2312" w:hAnsi="仿宋_GB2312" w:eastAsia="仿宋_GB2312" w:cs="仿宋_GB2312"/>
          <w:sz w:val="28"/>
          <w:szCs w:val="28"/>
        </w:rPr>
      </w:pPr>
    </w:p>
    <w:p w14:paraId="17AD46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法人代表或授权人（签字）：</w:t>
      </w:r>
    </w:p>
    <w:p w14:paraId="70C048E8">
      <w:pPr>
        <w:ind w:firstLine="560" w:firstLineChars="200"/>
        <w:rPr>
          <w:rFonts w:ascii="仿宋_GB2312" w:hAnsi="仿宋_GB2312" w:eastAsia="仿宋_GB2312" w:cs="仿宋_GB2312"/>
          <w:sz w:val="28"/>
          <w:szCs w:val="28"/>
        </w:rPr>
      </w:pPr>
    </w:p>
    <w:p w14:paraId="62D8419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4D9FE807">
      <w:pPr>
        <w:pStyle w:val="2"/>
        <w:widowControl/>
        <w:shd w:val="clear" w:color="auto" w:fill="FFFFFF"/>
        <w:spacing w:before="0" w:beforeAutospacing="0" w:after="0" w:afterAutospacing="0" w:line="500" w:lineRule="atLeast"/>
        <w:ind w:right="560" w:firstLine="3360"/>
        <w:jc w:val="right"/>
        <w:rPr>
          <w:rFonts w:ascii="仿宋_GB2312" w:hAnsi="仿宋_GB2312" w:eastAsia="仿宋_GB2312" w:cs="仿宋_GB2312"/>
          <w:color w:val="333333"/>
          <w:sz w:val="28"/>
          <w:szCs w:val="28"/>
          <w:shd w:val="clear" w:color="auto" w:fill="FFFFFF"/>
        </w:rPr>
      </w:pPr>
    </w:p>
    <w:p w14:paraId="60ACF5E3">
      <w:pPr>
        <w:rPr>
          <w:rFonts w:ascii="黑体" w:hAnsi="黑体" w:eastAsia="黑体" w:cs="仿宋_GB2312"/>
          <w:sz w:val="28"/>
          <w:szCs w:val="28"/>
        </w:rPr>
      </w:pPr>
      <w:r>
        <w:rPr>
          <w:rFonts w:hint="eastAsia" w:ascii="黑体" w:hAnsi="黑体" w:eastAsia="黑体" w:cs="仿宋_GB2312"/>
          <w:sz w:val="28"/>
          <w:szCs w:val="28"/>
        </w:rPr>
        <w:t>附件四：</w:t>
      </w:r>
    </w:p>
    <w:p w14:paraId="74C7C120">
      <w:pPr>
        <w:pStyle w:val="2"/>
        <w:widowControl/>
        <w:shd w:val="clear" w:color="auto" w:fill="FFFFFF"/>
        <w:spacing w:before="0" w:beforeAutospacing="0" w:after="0" w:afterAutospacing="0"/>
        <w:rPr>
          <w:rFonts w:ascii="仿宋_GB2312" w:hAnsi="仿宋_GB2312" w:eastAsia="仿宋_GB2312" w:cs="仿宋_GB2312"/>
          <w:b/>
          <w:bCs/>
          <w:color w:val="333333"/>
          <w:sz w:val="28"/>
          <w:szCs w:val="28"/>
          <w:shd w:val="clear" w:color="auto" w:fill="FFFFFF"/>
        </w:rPr>
      </w:pPr>
    </w:p>
    <w:p w14:paraId="4CB3A82B">
      <w:pPr>
        <w:pStyle w:val="2"/>
        <w:widowControl/>
        <w:shd w:val="clear" w:color="auto" w:fill="FFFFFF"/>
        <w:spacing w:before="0" w:beforeAutospacing="0" w:after="0" w:afterAutospacing="0"/>
        <w:jc w:val="center"/>
        <w:rPr>
          <w:rFonts w:hint="eastAsia" w:ascii="方正小标宋简体" w:hAnsi="仿宋_GB2312" w:eastAsia="方正小标宋简体" w:cs="仿宋_GB2312"/>
          <w:bCs/>
          <w:color w:val="333333"/>
          <w:sz w:val="44"/>
          <w:szCs w:val="44"/>
          <w:shd w:val="clear" w:color="auto" w:fill="FFFFFF"/>
        </w:rPr>
      </w:pPr>
      <w:r>
        <w:rPr>
          <w:rFonts w:hint="eastAsia" w:ascii="方正小标宋简体" w:hAnsi="仿宋_GB2312" w:eastAsia="方正小标宋简体" w:cs="仿宋_GB2312"/>
          <w:bCs/>
          <w:color w:val="333333"/>
          <w:sz w:val="44"/>
          <w:szCs w:val="44"/>
          <w:shd w:val="clear" w:color="auto" w:fill="FFFFFF"/>
        </w:rPr>
        <w:t>报价单</w:t>
      </w:r>
    </w:p>
    <w:p w14:paraId="35DFF9EE">
      <w:pPr>
        <w:pStyle w:val="2"/>
        <w:widowControl/>
        <w:shd w:val="clear" w:color="auto" w:fill="FFFFFF"/>
        <w:spacing w:before="0" w:beforeAutospacing="0" w:after="0" w:afterAutospacing="0"/>
        <w:jc w:val="both"/>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 </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44"/>
        <w:gridCol w:w="7140"/>
      </w:tblGrid>
      <w:tr w14:paraId="43B4B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20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D4CEC9">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7140" w:type="dxa"/>
            <w:tcBorders>
              <w:top w:val="single" w:color="auto" w:sz="8" w:space="0"/>
              <w:left w:val="nil"/>
              <w:bottom w:val="single" w:color="auto" w:sz="8" w:space="0"/>
              <w:right w:val="single" w:color="auto" w:sz="8" w:space="0"/>
            </w:tcBorders>
            <w:tcMar>
              <w:left w:w="108" w:type="dxa"/>
              <w:right w:w="108" w:type="dxa"/>
            </w:tcMar>
            <w:vAlign w:val="center"/>
          </w:tcPr>
          <w:p w14:paraId="393FDE4D">
            <w:pPr>
              <w:spacing w:line="576" w:lineRule="exact"/>
              <w:jc w:val="center"/>
              <w:rPr>
                <w:rStyle w:val="5"/>
                <w:rFonts w:ascii="仿宋_GB2312" w:hAnsi="仿宋_GB2312" w:eastAsia="仿宋_GB2312" w:cs="仿宋_GB2312"/>
                <w:color w:val="333333"/>
                <w:kern w:val="0"/>
                <w:sz w:val="28"/>
                <w:szCs w:val="28"/>
              </w:rPr>
            </w:pPr>
            <w:r>
              <w:rPr>
                <w:rStyle w:val="5"/>
                <w:rFonts w:hint="eastAsia" w:ascii="仿宋_GB2312" w:hAnsi="仿宋_GB2312" w:eastAsia="仿宋_GB2312" w:cs="仿宋_GB2312"/>
                <w:color w:val="333333"/>
                <w:kern w:val="0"/>
                <w:sz w:val="28"/>
                <w:szCs w:val="28"/>
              </w:rPr>
              <w:t>合肥兴泰创业投资管理有限公司</w:t>
            </w:r>
          </w:p>
          <w:p w14:paraId="61EC91B1">
            <w:pPr>
              <w:pStyle w:val="2"/>
              <w:widowControl/>
              <w:spacing w:before="0" w:beforeAutospacing="0" w:after="50" w:afterAutospacing="0" w:line="520" w:lineRule="atLeast"/>
              <w:jc w:val="center"/>
              <w:rPr>
                <w:rFonts w:ascii="仿宋_GB2312" w:hAnsi="仿宋_GB2312" w:eastAsia="仿宋_GB2312" w:cs="仿宋_GB2312"/>
                <w:sz w:val="28"/>
                <w:szCs w:val="28"/>
              </w:rPr>
            </w:pPr>
            <w:r>
              <w:rPr>
                <w:rStyle w:val="5"/>
                <w:rFonts w:hint="eastAsia" w:ascii="仿宋_GB2312" w:hAnsi="仿宋_GB2312" w:eastAsia="仿宋_GB2312" w:cs="仿宋_GB2312"/>
                <w:color w:val="333333"/>
                <w:sz w:val="28"/>
                <w:szCs w:val="28"/>
              </w:rPr>
              <w:t>固定资产（办公用空调）项目</w:t>
            </w:r>
          </w:p>
        </w:tc>
      </w:tr>
      <w:tr w14:paraId="5B3BC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9" w:hRule="atLeast"/>
          <w:jc w:val="center"/>
        </w:trPr>
        <w:tc>
          <w:tcPr>
            <w:tcW w:w="2044" w:type="dxa"/>
            <w:tcBorders>
              <w:top w:val="nil"/>
              <w:left w:val="single" w:color="auto" w:sz="8" w:space="0"/>
              <w:bottom w:val="single" w:color="auto" w:sz="8" w:space="0"/>
              <w:right w:val="single" w:color="auto" w:sz="8" w:space="0"/>
            </w:tcBorders>
            <w:tcMar>
              <w:left w:w="108" w:type="dxa"/>
              <w:right w:w="108" w:type="dxa"/>
            </w:tcMar>
            <w:vAlign w:val="center"/>
          </w:tcPr>
          <w:p w14:paraId="5AD2557C">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报价人全称</w:t>
            </w:r>
          </w:p>
        </w:tc>
        <w:tc>
          <w:tcPr>
            <w:tcW w:w="7140" w:type="dxa"/>
            <w:tcBorders>
              <w:top w:val="nil"/>
              <w:left w:val="nil"/>
              <w:bottom w:val="single" w:color="auto" w:sz="8" w:space="0"/>
              <w:right w:val="single" w:color="auto" w:sz="8" w:space="0"/>
            </w:tcBorders>
            <w:tcMar>
              <w:left w:w="108" w:type="dxa"/>
              <w:right w:w="108" w:type="dxa"/>
            </w:tcMar>
          </w:tcPr>
          <w:p w14:paraId="79E668E2">
            <w:pPr>
              <w:pStyle w:val="2"/>
              <w:widowControl/>
              <w:spacing w:before="0" w:beforeAutospacing="0" w:after="50" w:afterAutospacing="0" w:line="520" w:lineRule="atLeast"/>
              <w:jc w:val="both"/>
              <w:rPr>
                <w:rFonts w:ascii="仿宋_GB2312" w:hAnsi="仿宋_GB2312" w:eastAsia="仿宋_GB2312" w:cs="仿宋_GB2312"/>
                <w:sz w:val="28"/>
                <w:szCs w:val="28"/>
              </w:rPr>
            </w:pPr>
          </w:p>
        </w:tc>
      </w:tr>
      <w:tr w14:paraId="2BB4F4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9" w:hRule="atLeast"/>
          <w:jc w:val="center"/>
        </w:trPr>
        <w:tc>
          <w:tcPr>
            <w:tcW w:w="2044" w:type="dxa"/>
            <w:tcBorders>
              <w:top w:val="nil"/>
              <w:left w:val="single" w:color="auto" w:sz="8" w:space="0"/>
              <w:bottom w:val="single" w:color="auto" w:sz="8" w:space="0"/>
              <w:right w:val="single" w:color="auto" w:sz="8" w:space="0"/>
            </w:tcBorders>
            <w:tcMar>
              <w:left w:w="108" w:type="dxa"/>
              <w:right w:w="108" w:type="dxa"/>
            </w:tcMar>
            <w:vAlign w:val="center"/>
          </w:tcPr>
          <w:p w14:paraId="6DB9E880">
            <w:pPr>
              <w:pStyle w:val="2"/>
              <w:widowControl/>
              <w:spacing w:before="0" w:beforeAutospacing="0" w:after="50" w:afterAutospacing="0" w:line="520" w:lineRule="atLeas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报价范围</w:t>
            </w:r>
          </w:p>
        </w:tc>
        <w:tc>
          <w:tcPr>
            <w:tcW w:w="7140" w:type="dxa"/>
            <w:tcBorders>
              <w:top w:val="nil"/>
              <w:left w:val="nil"/>
              <w:bottom w:val="single" w:color="auto" w:sz="8" w:space="0"/>
              <w:right w:val="single" w:color="auto" w:sz="8" w:space="0"/>
            </w:tcBorders>
            <w:tcMar>
              <w:left w:w="108" w:type="dxa"/>
              <w:right w:w="108" w:type="dxa"/>
            </w:tcMar>
            <w:vAlign w:val="center"/>
          </w:tcPr>
          <w:p w14:paraId="5E55A7B1">
            <w:pPr>
              <w:pStyle w:val="2"/>
              <w:widowControl/>
              <w:spacing w:before="0" w:beforeAutospacing="0" w:after="50" w:afterAutospacing="0" w:line="520" w:lineRule="atLeas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全部</w:t>
            </w:r>
          </w:p>
        </w:tc>
      </w:tr>
      <w:tr w14:paraId="3DB80A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3" w:hRule="atLeast"/>
          <w:jc w:val="center"/>
        </w:trPr>
        <w:tc>
          <w:tcPr>
            <w:tcW w:w="2044" w:type="dxa"/>
            <w:tcBorders>
              <w:top w:val="nil"/>
              <w:left w:val="single" w:color="auto" w:sz="8" w:space="0"/>
              <w:bottom w:val="single" w:color="auto" w:sz="8" w:space="0"/>
              <w:right w:val="single" w:color="auto" w:sz="8" w:space="0"/>
            </w:tcBorders>
            <w:tcMar>
              <w:left w:w="108" w:type="dxa"/>
              <w:right w:w="108" w:type="dxa"/>
            </w:tcMar>
            <w:vAlign w:val="center"/>
          </w:tcPr>
          <w:p w14:paraId="7BEF5F63">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最终报价</w:t>
            </w:r>
          </w:p>
          <w:p w14:paraId="6DD82F61">
            <w:pPr>
              <w:pStyle w:val="2"/>
              <w:widowControl/>
              <w:spacing w:before="0" w:beforeAutospacing="0" w:after="50" w:afterAutospacing="0" w:line="520" w:lineRule="atLeas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（人民币）</w:t>
            </w:r>
          </w:p>
        </w:tc>
        <w:tc>
          <w:tcPr>
            <w:tcW w:w="7140" w:type="dxa"/>
            <w:tcBorders>
              <w:top w:val="nil"/>
              <w:left w:val="nil"/>
              <w:bottom w:val="single" w:color="auto" w:sz="8" w:space="0"/>
              <w:right w:val="single" w:color="auto" w:sz="8" w:space="0"/>
            </w:tcBorders>
            <w:tcMar>
              <w:left w:w="108" w:type="dxa"/>
              <w:right w:w="108" w:type="dxa"/>
            </w:tcMar>
            <w:vAlign w:val="center"/>
          </w:tcPr>
          <w:p w14:paraId="53FB64B1">
            <w:pPr>
              <w:pStyle w:val="2"/>
              <w:widowControl/>
              <w:spacing w:before="0" w:beforeAutospacing="0" w:after="50" w:afterAutospacing="0" w:line="520" w:lineRule="atLeas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p>
          <w:p w14:paraId="3CDD097B">
            <w:pPr>
              <w:pStyle w:val="2"/>
              <w:widowControl/>
              <w:spacing w:before="0" w:beforeAutospacing="0" w:after="50" w:afterAutospacing="0" w:line="520" w:lineRule="atLeas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p>
        </w:tc>
      </w:tr>
    </w:tbl>
    <w:p w14:paraId="1EB6A705">
      <w:pPr>
        <w:pStyle w:val="2"/>
        <w:widowControl/>
        <w:shd w:val="clear" w:color="auto" w:fill="FFFFFF"/>
        <w:spacing w:before="0" w:beforeAutospacing="0" w:after="0" w:afterAutospacing="0" w:line="315" w:lineRule="atLeast"/>
        <w:rPr>
          <w:rFonts w:ascii="仿宋_GB2312" w:hAnsi="仿宋_GB2312" w:eastAsia="仿宋_GB2312" w:cs="仿宋_GB2312"/>
          <w:b/>
          <w:bCs/>
          <w:color w:val="333333"/>
          <w:sz w:val="28"/>
          <w:szCs w:val="28"/>
          <w:shd w:val="clear" w:color="auto" w:fill="FFFFFF"/>
        </w:rPr>
      </w:pPr>
    </w:p>
    <w:p w14:paraId="2A9CD3B2">
      <w:pPr>
        <w:pStyle w:val="2"/>
        <w:widowControl/>
        <w:shd w:val="clear" w:color="auto" w:fill="FFFFFF"/>
        <w:spacing w:before="0" w:beforeAutospacing="0" w:after="0" w:afterAutospacing="0" w:line="315" w:lineRule="atLeast"/>
        <w:ind w:firstLine="5622" w:firstLineChars="2000"/>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报价人（盖章）：</w:t>
      </w:r>
    </w:p>
    <w:p w14:paraId="7C95D94D">
      <w:pPr>
        <w:pStyle w:val="2"/>
        <w:widowControl/>
        <w:shd w:val="clear" w:color="auto" w:fill="FFFFFF"/>
        <w:spacing w:before="0" w:beforeAutospacing="0" w:after="0" w:afterAutospacing="0" w:line="315" w:lineRule="atLeast"/>
        <w:rPr>
          <w:rFonts w:ascii="仿宋_GB2312" w:hAnsi="仿宋_GB2312" w:eastAsia="仿宋_GB2312" w:cs="仿宋_GB2312"/>
          <w:b/>
          <w:bCs/>
          <w:color w:val="333333"/>
          <w:sz w:val="28"/>
          <w:szCs w:val="28"/>
          <w:shd w:val="clear" w:color="auto" w:fill="FFFFFF"/>
        </w:rPr>
      </w:pPr>
    </w:p>
    <w:p w14:paraId="15F62B87">
      <w:pPr>
        <w:pStyle w:val="2"/>
        <w:widowControl/>
        <w:shd w:val="clear" w:color="auto" w:fill="FFFFFF"/>
        <w:spacing w:before="0" w:beforeAutospacing="0" w:after="0" w:afterAutospacing="0" w:line="315" w:lineRule="atLeast"/>
        <w:rPr>
          <w:rFonts w:ascii="仿宋_GB2312" w:hAnsi="仿宋_GB2312" w:eastAsia="仿宋_GB2312" w:cs="仿宋_GB2312"/>
          <w:color w:val="333333"/>
          <w:sz w:val="28"/>
          <w:szCs w:val="28"/>
        </w:rPr>
      </w:pPr>
      <w:r>
        <w:rPr>
          <w:rFonts w:hint="eastAsia" w:ascii="仿宋_GB2312" w:hAnsi="仿宋_GB2312" w:eastAsia="仿宋_GB2312" w:cs="仿宋_GB2312"/>
          <w:b/>
          <w:bCs/>
          <w:color w:val="333333"/>
          <w:sz w:val="28"/>
          <w:szCs w:val="28"/>
          <w:shd w:val="clear" w:color="auto" w:fill="FFFFFF"/>
        </w:rPr>
        <w:t>注：</w:t>
      </w:r>
    </w:p>
    <w:p w14:paraId="3DCC712A">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1、最终报价不得低于评估价值，报价精确到元。</w:t>
      </w:r>
    </w:p>
    <w:p w14:paraId="554839EC">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2、报价单中最终报价大写与小写应一致。如不一致，以大写为准。</w:t>
      </w:r>
    </w:p>
    <w:p w14:paraId="1108504D">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3、如表中填写多个报价，竞价无效。</w:t>
      </w:r>
    </w:p>
    <w:p w14:paraId="05834D1C">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4、请书写工整、清晰、准确。</w:t>
      </w:r>
    </w:p>
    <w:p w14:paraId="3F008713">
      <w:pPr>
        <w:pStyle w:val="2"/>
        <w:widowControl/>
        <w:shd w:val="clear" w:color="auto" w:fill="FFFFFF"/>
        <w:spacing w:before="0" w:beforeAutospacing="0" w:after="0" w:afterAutospacing="0" w:line="315" w:lineRule="atLeast"/>
        <w:rPr>
          <w:rFonts w:ascii="仿宋_GB2312" w:hAnsi="仿宋_GB2312" w:eastAsia="仿宋_GB2312" w:cs="仿宋_GB2312"/>
          <w:color w:val="333333"/>
          <w:szCs w:val="24"/>
        </w:rPr>
      </w:pPr>
      <w:r>
        <w:rPr>
          <w:rFonts w:hint="eastAsia" w:ascii="仿宋_GB2312" w:hAnsi="仿宋_GB2312" w:eastAsia="仿宋_GB2312" w:cs="仿宋_GB2312"/>
          <w:b/>
          <w:bCs/>
          <w:color w:val="333333"/>
          <w:szCs w:val="24"/>
          <w:shd w:val="clear" w:color="auto" w:fill="FFFFFF"/>
        </w:rPr>
        <w:t>5、请将此报价单加盖公章后按邀请函要求单独密封包装。</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83"/>
    <w:rsid w:val="00007DDF"/>
    <w:rsid w:val="00012DEA"/>
    <w:rsid w:val="00016C79"/>
    <w:rsid w:val="00062C62"/>
    <w:rsid w:val="00084FDA"/>
    <w:rsid w:val="00085A8D"/>
    <w:rsid w:val="000B61E2"/>
    <w:rsid w:val="000B71A4"/>
    <w:rsid w:val="000D1B4C"/>
    <w:rsid w:val="000D39B1"/>
    <w:rsid w:val="000E0F0D"/>
    <w:rsid w:val="000E52D7"/>
    <w:rsid w:val="001000E7"/>
    <w:rsid w:val="00115E66"/>
    <w:rsid w:val="00120A5B"/>
    <w:rsid w:val="00127187"/>
    <w:rsid w:val="001472C0"/>
    <w:rsid w:val="00154D0B"/>
    <w:rsid w:val="001557FD"/>
    <w:rsid w:val="001606EC"/>
    <w:rsid w:val="00161944"/>
    <w:rsid w:val="00163944"/>
    <w:rsid w:val="00182FF3"/>
    <w:rsid w:val="0019163B"/>
    <w:rsid w:val="001A3C17"/>
    <w:rsid w:val="001C61FC"/>
    <w:rsid w:val="001D05FD"/>
    <w:rsid w:val="001E4F42"/>
    <w:rsid w:val="00203626"/>
    <w:rsid w:val="00230579"/>
    <w:rsid w:val="00241112"/>
    <w:rsid w:val="00242710"/>
    <w:rsid w:val="002653D0"/>
    <w:rsid w:val="0027355D"/>
    <w:rsid w:val="0028201A"/>
    <w:rsid w:val="00295CD3"/>
    <w:rsid w:val="002A2597"/>
    <w:rsid w:val="002C509E"/>
    <w:rsid w:val="002D6397"/>
    <w:rsid w:val="00325D9C"/>
    <w:rsid w:val="00356B85"/>
    <w:rsid w:val="00362D46"/>
    <w:rsid w:val="00366CB6"/>
    <w:rsid w:val="00371FB5"/>
    <w:rsid w:val="00387D4F"/>
    <w:rsid w:val="003A1BE6"/>
    <w:rsid w:val="003A71B8"/>
    <w:rsid w:val="003E014D"/>
    <w:rsid w:val="00413964"/>
    <w:rsid w:val="0043229F"/>
    <w:rsid w:val="00462F8F"/>
    <w:rsid w:val="004D1CBF"/>
    <w:rsid w:val="004D4785"/>
    <w:rsid w:val="005049E7"/>
    <w:rsid w:val="00542363"/>
    <w:rsid w:val="0057263F"/>
    <w:rsid w:val="005949A5"/>
    <w:rsid w:val="00595A52"/>
    <w:rsid w:val="005D1173"/>
    <w:rsid w:val="005E171B"/>
    <w:rsid w:val="005E26FB"/>
    <w:rsid w:val="00622C92"/>
    <w:rsid w:val="006357B9"/>
    <w:rsid w:val="00666545"/>
    <w:rsid w:val="00666695"/>
    <w:rsid w:val="00677660"/>
    <w:rsid w:val="006A328F"/>
    <w:rsid w:val="006B2A76"/>
    <w:rsid w:val="006B5232"/>
    <w:rsid w:val="006C53DC"/>
    <w:rsid w:val="006D7406"/>
    <w:rsid w:val="006F6440"/>
    <w:rsid w:val="006F75B3"/>
    <w:rsid w:val="00712745"/>
    <w:rsid w:val="00761E7B"/>
    <w:rsid w:val="00775510"/>
    <w:rsid w:val="00784010"/>
    <w:rsid w:val="00795907"/>
    <w:rsid w:val="007A6B79"/>
    <w:rsid w:val="007A758D"/>
    <w:rsid w:val="007C0188"/>
    <w:rsid w:val="007C1E5D"/>
    <w:rsid w:val="007D6EC9"/>
    <w:rsid w:val="007E28A9"/>
    <w:rsid w:val="007E40E5"/>
    <w:rsid w:val="007E4F9C"/>
    <w:rsid w:val="007F500B"/>
    <w:rsid w:val="008132DE"/>
    <w:rsid w:val="00813549"/>
    <w:rsid w:val="0081538E"/>
    <w:rsid w:val="008526FA"/>
    <w:rsid w:val="00873258"/>
    <w:rsid w:val="00876F10"/>
    <w:rsid w:val="00885CEB"/>
    <w:rsid w:val="008A7283"/>
    <w:rsid w:val="008B446B"/>
    <w:rsid w:val="008C00E7"/>
    <w:rsid w:val="008C2937"/>
    <w:rsid w:val="008F7EFA"/>
    <w:rsid w:val="00943C66"/>
    <w:rsid w:val="00944DF4"/>
    <w:rsid w:val="009728C7"/>
    <w:rsid w:val="0098777E"/>
    <w:rsid w:val="00992DA8"/>
    <w:rsid w:val="00996C2C"/>
    <w:rsid w:val="009B45D6"/>
    <w:rsid w:val="009C36EB"/>
    <w:rsid w:val="009C52BC"/>
    <w:rsid w:val="009D0F15"/>
    <w:rsid w:val="009F4DA2"/>
    <w:rsid w:val="00A3208A"/>
    <w:rsid w:val="00A571EA"/>
    <w:rsid w:val="00A6681D"/>
    <w:rsid w:val="00AD0E91"/>
    <w:rsid w:val="00AE2FE7"/>
    <w:rsid w:val="00B0764D"/>
    <w:rsid w:val="00B307AB"/>
    <w:rsid w:val="00BA265B"/>
    <w:rsid w:val="00BD4A1C"/>
    <w:rsid w:val="00BE2F4B"/>
    <w:rsid w:val="00BE7EEA"/>
    <w:rsid w:val="00BF5125"/>
    <w:rsid w:val="00C139D0"/>
    <w:rsid w:val="00C355CF"/>
    <w:rsid w:val="00C54E5D"/>
    <w:rsid w:val="00C63A14"/>
    <w:rsid w:val="00C86AFE"/>
    <w:rsid w:val="00CB2A07"/>
    <w:rsid w:val="00CC70D6"/>
    <w:rsid w:val="00CD5DB7"/>
    <w:rsid w:val="00CF5AEE"/>
    <w:rsid w:val="00D02516"/>
    <w:rsid w:val="00D05ABE"/>
    <w:rsid w:val="00D177F5"/>
    <w:rsid w:val="00D50F3C"/>
    <w:rsid w:val="00D50F9E"/>
    <w:rsid w:val="00D5389F"/>
    <w:rsid w:val="00DC6D87"/>
    <w:rsid w:val="00DD0A2F"/>
    <w:rsid w:val="00DE4677"/>
    <w:rsid w:val="00DE7BCA"/>
    <w:rsid w:val="00E47DB8"/>
    <w:rsid w:val="00E97AEA"/>
    <w:rsid w:val="00EA00E0"/>
    <w:rsid w:val="00EA03DA"/>
    <w:rsid w:val="00EC6298"/>
    <w:rsid w:val="00EF668F"/>
    <w:rsid w:val="00EF74F2"/>
    <w:rsid w:val="00F23BA0"/>
    <w:rsid w:val="00F630DB"/>
    <w:rsid w:val="00F85722"/>
    <w:rsid w:val="00FA32C8"/>
    <w:rsid w:val="00FB7321"/>
    <w:rsid w:val="00FC4065"/>
    <w:rsid w:val="00FC5281"/>
    <w:rsid w:val="00FC5321"/>
    <w:rsid w:val="00FD1B38"/>
    <w:rsid w:val="015D02FD"/>
    <w:rsid w:val="01CE11B8"/>
    <w:rsid w:val="04F210BE"/>
    <w:rsid w:val="05850883"/>
    <w:rsid w:val="05C313AC"/>
    <w:rsid w:val="06993688"/>
    <w:rsid w:val="07061550"/>
    <w:rsid w:val="08986CCE"/>
    <w:rsid w:val="08A94889"/>
    <w:rsid w:val="09C122EB"/>
    <w:rsid w:val="0C130B49"/>
    <w:rsid w:val="0CFA3905"/>
    <w:rsid w:val="0D2164A1"/>
    <w:rsid w:val="126253AF"/>
    <w:rsid w:val="128724F6"/>
    <w:rsid w:val="16666529"/>
    <w:rsid w:val="17934DB9"/>
    <w:rsid w:val="17A54A81"/>
    <w:rsid w:val="17F66684"/>
    <w:rsid w:val="18003D99"/>
    <w:rsid w:val="1C521B7C"/>
    <w:rsid w:val="1D33497E"/>
    <w:rsid w:val="1D952A26"/>
    <w:rsid w:val="20E83E27"/>
    <w:rsid w:val="21285DF3"/>
    <w:rsid w:val="22067E42"/>
    <w:rsid w:val="25592D3B"/>
    <w:rsid w:val="2B7440D7"/>
    <w:rsid w:val="2E8C6349"/>
    <w:rsid w:val="2F5527C5"/>
    <w:rsid w:val="314B20D2"/>
    <w:rsid w:val="32643A85"/>
    <w:rsid w:val="35AA386B"/>
    <w:rsid w:val="35D96A5F"/>
    <w:rsid w:val="3B321DAF"/>
    <w:rsid w:val="3D0221FC"/>
    <w:rsid w:val="3DB17980"/>
    <w:rsid w:val="3DBF3C2B"/>
    <w:rsid w:val="3DDA2813"/>
    <w:rsid w:val="412E2E01"/>
    <w:rsid w:val="41996A2E"/>
    <w:rsid w:val="4476629B"/>
    <w:rsid w:val="46617027"/>
    <w:rsid w:val="498D1081"/>
    <w:rsid w:val="4C3A3B0E"/>
    <w:rsid w:val="4CF65EBD"/>
    <w:rsid w:val="4D420779"/>
    <w:rsid w:val="4D911F01"/>
    <w:rsid w:val="4E241889"/>
    <w:rsid w:val="52483D98"/>
    <w:rsid w:val="52934D6E"/>
    <w:rsid w:val="53B316E5"/>
    <w:rsid w:val="53F51CFD"/>
    <w:rsid w:val="5A2E5F69"/>
    <w:rsid w:val="5B290894"/>
    <w:rsid w:val="5BCB77E7"/>
    <w:rsid w:val="5DD92C09"/>
    <w:rsid w:val="5E54150A"/>
    <w:rsid w:val="61216584"/>
    <w:rsid w:val="61241E74"/>
    <w:rsid w:val="619A2136"/>
    <w:rsid w:val="63AF198D"/>
    <w:rsid w:val="67AF42CB"/>
    <w:rsid w:val="67FA52FE"/>
    <w:rsid w:val="68167F07"/>
    <w:rsid w:val="685A091D"/>
    <w:rsid w:val="68761DA1"/>
    <w:rsid w:val="68890DEB"/>
    <w:rsid w:val="69552729"/>
    <w:rsid w:val="6999151C"/>
    <w:rsid w:val="6A834AB1"/>
    <w:rsid w:val="6CBB3F40"/>
    <w:rsid w:val="6D686B07"/>
    <w:rsid w:val="6E717E27"/>
    <w:rsid w:val="6E7D0142"/>
    <w:rsid w:val="704F63CF"/>
    <w:rsid w:val="740C0C09"/>
    <w:rsid w:val="761A7FB0"/>
    <w:rsid w:val="7630247D"/>
    <w:rsid w:val="79A27982"/>
    <w:rsid w:val="7DC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 w:type="paragraph" w:customStyle="1" w:styleId="7">
    <w:name w:val="Table Text"/>
    <w:basedOn w:val="1"/>
    <w:semiHidden/>
    <w:qFormat/>
    <w:uiPriority w:val="0"/>
    <w:rPr>
      <w:rFonts w:ascii="宋体" w:hAnsi="宋体" w:eastAsia="宋体" w:cs="宋体"/>
      <w:szCs w:val="21"/>
      <w:lang w:eastAsia="en-US"/>
    </w:rPr>
  </w:style>
  <w:style w:type="table" w:customStyle="1" w:styleId="8">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2395</Words>
  <Characters>2614</Characters>
  <Lines>22</Lines>
  <Paragraphs>6</Paragraphs>
  <TotalTime>311</TotalTime>
  <ScaleCrop>false</ScaleCrop>
  <LinksUpToDate>false</LinksUpToDate>
  <CharactersWithSpaces>2888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2021-11-15T11:26:00Z</dcterms:created>
  <dc:creator>NTKO</dc:creator>
  <cp:lastModifiedBy>巧乐兹</cp:lastModifiedBy>
  <cp:lastPrinted>2025-06-23T08:12:00Z</cp:lastPrinted>
  <dcterms:modified xsi:type="dcterms:W3CDTF">2025-06-24T01:55:42Z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705C4C23D3514FAC928E67E76DFF5A66_13</vt:lpwstr>
  </property>
  <property fmtid="{D5CDD505-2E9C-101B-9397-08002B2CF9AE}" pid="4" name="KSOTemplateDocerSaveRecord">
    <vt:lpwstr>eyJoZGlkIjoiZTY4MTU0NTNlNmZmZDgyNTFmZDJjZjM3ZGJjNzg0ZDkiLCJ1c2VySWQiOiIyOTIwMzc0MDQifQ==</vt:lpwstr>
  </property>
</Properties>
</file>