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
          <w:bCs/>
          <w:sz w:val="36"/>
          <w:szCs w:val="36"/>
        </w:rPr>
      </w:pPr>
      <w:r>
        <w:rPr>
          <w:rFonts w:hint="eastAsia" w:ascii="黑体" w:hAnsi="黑体" w:eastAsia="黑体" w:cs="仿宋"/>
          <w:bCs/>
          <w:sz w:val="36"/>
          <w:szCs w:val="36"/>
        </w:rPr>
        <w:t>安徽省兴泰融资担保集团有限公司</w:t>
      </w:r>
    </w:p>
    <w:p>
      <w:pPr>
        <w:jc w:val="center"/>
        <w:rPr>
          <w:rFonts w:hint="default" w:ascii="黑体" w:hAnsi="黑体" w:eastAsia="黑体" w:cs="仿宋"/>
          <w:bCs/>
          <w:sz w:val="36"/>
          <w:szCs w:val="36"/>
          <w:lang w:val="en-US"/>
        </w:rPr>
      </w:pPr>
      <w:r>
        <w:rPr>
          <w:rFonts w:hint="eastAsia" w:ascii="黑体" w:hAnsi="黑体" w:eastAsia="黑体" w:cs="仿宋"/>
          <w:bCs/>
          <w:sz w:val="36"/>
          <w:szCs w:val="36"/>
          <w:lang w:val="en-US" w:eastAsia="zh-CN"/>
        </w:rPr>
        <w:t>债券市场资讯数据终端采购文件</w:t>
      </w:r>
    </w:p>
    <w:p>
      <w:pPr>
        <w:jc w:val="center"/>
        <w:rPr>
          <w:rFonts w:hint="eastAsia" w:ascii="黑体" w:hAnsi="黑体" w:eastAsia="黑体" w:cs="仿宋"/>
          <w:bCs/>
          <w:sz w:val="36"/>
          <w:szCs w:val="36"/>
        </w:rPr>
      </w:pPr>
    </w:p>
    <w:p>
      <w:pPr>
        <w:numPr>
          <w:ilvl w:val="0"/>
          <w:numId w:val="1"/>
        </w:numPr>
        <w:ind w:firstLine="739" w:firstLineChars="230"/>
        <w:rPr>
          <w:rFonts w:hint="eastAsia" w:ascii="仿宋_GB2312" w:hAnsi="黑体" w:eastAsia="仿宋_GB2312" w:cs="黑体"/>
          <w:b/>
          <w:sz w:val="32"/>
          <w:szCs w:val="32"/>
        </w:rPr>
      </w:pPr>
      <w:r>
        <w:rPr>
          <w:rFonts w:hint="eastAsia" w:ascii="仿宋_GB2312" w:hAnsi="黑体" w:eastAsia="仿宋_GB2312" w:cs="黑体"/>
          <w:b/>
          <w:sz w:val="32"/>
          <w:szCs w:val="32"/>
          <w:lang w:val="en-US" w:eastAsia="zh-CN"/>
        </w:rPr>
        <w:t>项目概况</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仿宋_GB2312" w:eastAsia="仿宋_GB2312" w:cs="仿宋_GB2312"/>
          <w:sz w:val="32"/>
          <w:szCs w:val="32"/>
        </w:rPr>
        <w:t>安徽省兴泰融资担保集团有限公司</w:t>
      </w:r>
      <w:r>
        <w:rPr>
          <w:rFonts w:hint="eastAsia" w:ascii="仿宋_GB2312" w:hAnsi="宋体" w:eastAsia="仿宋_GB2312" w:cs="宋体"/>
          <w:sz w:val="32"/>
          <w:szCs w:val="32"/>
          <w:lang w:val="en-US" w:eastAsia="zh-CN"/>
        </w:rPr>
        <w:t>债券市场资讯数据终端采购</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债券市场资讯数据终端需至少满足以下要求：</w:t>
      </w:r>
    </w:p>
    <w:p>
      <w:pPr>
        <w:spacing w:line="60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1、提供全面及时的债券一级市场发行及二级市场债券评级、估值、交易报价及成交数据；</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2、提供覆盖全国的区域经济、财务与债务数据，各省、市、区、县等不同行政级别的主要城投平台数据及评价体系；</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3、提供全面及时的债券公告、舆情信息；</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4、提供债券投后管理与监测功能；</w:t>
      </w:r>
    </w:p>
    <w:p>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lang w:val="en-US" w:eastAsia="zh-CN"/>
        </w:rPr>
        <w:t>5、能够归集并推送市场主流机构对债券市场的观点、看法、研究成果等，具有债券收益率曲线、利差等市场分析基础工具。</w:t>
      </w:r>
    </w:p>
    <w:p>
      <w:pPr>
        <w:ind w:firstLine="739" w:firstLineChars="230"/>
        <w:rPr>
          <w:rFonts w:ascii="仿宋_GB2312" w:hAnsi="黑体" w:eastAsia="仿宋_GB2312" w:cs="黑体"/>
          <w:b/>
          <w:sz w:val="32"/>
          <w:szCs w:val="32"/>
        </w:rPr>
      </w:pPr>
      <w:r>
        <w:rPr>
          <w:rFonts w:hint="eastAsia" w:ascii="仿宋_GB2312" w:hAnsi="黑体" w:eastAsia="仿宋_GB2312" w:cs="黑体"/>
          <w:b/>
          <w:sz w:val="32"/>
          <w:szCs w:val="32"/>
          <w:lang w:val="en-US" w:eastAsia="zh-CN"/>
        </w:rPr>
        <w:t>二</w:t>
      </w:r>
      <w:r>
        <w:rPr>
          <w:rFonts w:hint="eastAsia" w:ascii="仿宋_GB2312" w:hAnsi="黑体" w:eastAsia="仿宋_GB2312" w:cs="黑体"/>
          <w:b/>
          <w:sz w:val="32"/>
          <w:szCs w:val="32"/>
        </w:rPr>
        <w:t>、资格条件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（一）在中华人民共和国境内依照《中华人民共和国公司法》成立的</w:t>
      </w:r>
      <w:r>
        <w:rPr>
          <w:rFonts w:hint="eastAsia" w:ascii="仿宋_GB2312" w:hAnsi="仿宋_GB2312" w:eastAsia="仿宋_GB2312" w:cs="仿宋_GB2312"/>
          <w:sz w:val="32"/>
          <w:szCs w:val="32"/>
          <w:lang w:val="en-US" w:eastAsia="zh-CN"/>
        </w:rPr>
        <w:t>具备独立法人资格的企业</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二）</w:t>
      </w:r>
      <w:r>
        <w:rPr>
          <w:rFonts w:ascii="仿宋_GB2312" w:hAnsi="宋体" w:eastAsia="仿宋_GB2312" w:cs="宋体"/>
          <w:sz w:val="32"/>
          <w:szCs w:val="32"/>
        </w:rPr>
        <w:t>具有良好的商业信誉，近三年内未被监管机构处罚</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信息数据全面及时，终端涵盖债券一二级市场行情、债券评级、估值、交易报价、成交数据、区域及发行主体数据、公告、舆情、投后监测、市场观点、分析工具等。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有服务主流金融机构的先例，</w:t>
      </w:r>
      <w:r>
        <w:rPr>
          <w:rFonts w:hint="eastAsia" w:ascii="仿宋_GB2312" w:hAnsi="宋体" w:eastAsia="仿宋_GB2312" w:cs="宋体"/>
          <w:sz w:val="32"/>
          <w:szCs w:val="32"/>
        </w:rPr>
        <w:t>具有履行合同必须的能力</w:t>
      </w:r>
      <w:r>
        <w:rPr>
          <w:rFonts w:hint="eastAsia" w:ascii="仿宋_GB2312" w:hAnsi="宋体" w:eastAsia="仿宋_GB2312" w:cs="宋体"/>
          <w:sz w:val="32"/>
          <w:szCs w:val="32"/>
          <w:lang w:eastAsia="zh-CN"/>
        </w:rPr>
        <w:t>。</w:t>
      </w:r>
    </w:p>
    <w:p>
      <w:pPr>
        <w:ind w:firstLine="739" w:firstLineChars="230"/>
        <w:rPr>
          <w:rFonts w:hint="eastAsia" w:ascii="黑体" w:hAnsi="黑体" w:eastAsia="黑体" w:cs="黑体"/>
          <w:sz w:val="32"/>
          <w:szCs w:val="32"/>
        </w:rPr>
      </w:pPr>
      <w:r>
        <w:rPr>
          <w:rFonts w:hint="eastAsia" w:ascii="仿宋_GB2312" w:hAnsi="黑体" w:eastAsia="仿宋_GB2312" w:cs="黑体"/>
          <w:b/>
          <w:sz w:val="32"/>
          <w:szCs w:val="32"/>
        </w:rPr>
        <w:t>三、评审方法和标准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本次采用比选方式进行</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。以综合评分法评标，得分排名最高分为中标单位。评分标准：总分100分，分为四大项内容：资质及商誉（1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bookmarkStart w:id="0" w:name="OLE_LINK1"/>
      <w:r>
        <w:rPr>
          <w:rFonts w:hint="eastAsia" w:ascii="仿宋_GB2312" w:hAnsi="仿宋_GB2312" w:eastAsia="仿宋_GB2312" w:cs="仿宋_GB2312"/>
          <w:sz w:val="32"/>
          <w:szCs w:val="32"/>
          <w:lang w:val="en-US" w:eastAsia="zh-CN"/>
        </w:rPr>
        <w:t>产品与需求匹配程度</w:t>
      </w:r>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w:t>
      </w:r>
      <w:bookmarkStart w:id="1" w:name="OLE_LINK4"/>
      <w:r>
        <w:rPr>
          <w:rFonts w:hint="eastAsia" w:ascii="仿宋_GB2312" w:hAnsi="仿宋_GB2312" w:eastAsia="仿宋_GB2312" w:cs="仿宋_GB2312"/>
          <w:sz w:val="32"/>
          <w:szCs w:val="32"/>
        </w:rPr>
        <w:t>综合报价</w:t>
      </w:r>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bookmarkStart w:id="2" w:name="OLE_LINK5"/>
      <w:r>
        <w:rPr>
          <w:rFonts w:hint="eastAsia" w:ascii="仿宋_GB2312" w:hAnsi="仿宋_GB2312" w:eastAsia="仿宋_GB2312" w:cs="仿宋_GB2312"/>
          <w:sz w:val="32"/>
          <w:szCs w:val="32"/>
          <w:lang w:val="en-US" w:eastAsia="zh-CN"/>
        </w:rPr>
        <w:t>售后服务</w:t>
      </w:r>
      <w:bookmarkEnd w:id="2"/>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w:t>
      </w:r>
    </w:p>
    <w:tbl>
      <w:tblPr>
        <w:tblStyle w:val="3"/>
        <w:tblW w:w="9391" w:type="dxa"/>
        <w:jc w:val="center"/>
        <w:tblBorders>
          <w:top w:val="single" w:color="auto" w:sz="18" w:space="0"/>
          <w:left w:val="single" w:color="000000" w:sz="12" w:space="0"/>
          <w:bottom w:val="single" w:color="auto" w:sz="18" w:space="0"/>
          <w:right w:val="single" w:color="000000" w:sz="12" w:space="0"/>
          <w:insideH w:val="single" w:color="auto" w:sz="2" w:space="0"/>
          <w:insideV w:val="single" w:color="auto" w:sz="2" w:space="0"/>
        </w:tblBorders>
        <w:tblLayout w:type="fixed"/>
        <w:tblCellMar>
          <w:top w:w="0" w:type="dxa"/>
          <w:left w:w="108" w:type="dxa"/>
          <w:bottom w:w="0" w:type="dxa"/>
          <w:right w:w="108" w:type="dxa"/>
        </w:tblCellMar>
      </w:tblPr>
      <w:tblGrid>
        <w:gridCol w:w="1290"/>
        <w:gridCol w:w="1444"/>
        <w:gridCol w:w="1109"/>
        <w:gridCol w:w="5548"/>
      </w:tblGrid>
      <w:tr>
        <w:tblPrEx>
          <w:tblBorders>
            <w:top w:val="single" w:color="auto" w:sz="18" w:space="0"/>
            <w:left w:val="single" w:color="000000" w:sz="12" w:space="0"/>
            <w:bottom w:val="single" w:color="auto" w:sz="18" w:space="0"/>
            <w:right w:val="single" w:color="000000" w:sz="1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3843" w:type="dxa"/>
            <w:gridSpan w:val="3"/>
            <w:tcBorders>
              <w:top w:val="single" w:color="auto" w:sz="6" w:space="0"/>
              <w:left w:val="single" w:color="auto" w:sz="6" w:space="0"/>
              <w:bottom w:val="single" w:color="auto" w:sz="6" w:space="0"/>
              <w:right w:val="single" w:color="auto" w:sz="6" w:space="0"/>
            </w:tcBorders>
            <w:vAlign w:val="center"/>
          </w:tcPr>
          <w:p>
            <w:pPr>
              <w:pStyle w:val="6"/>
              <w:spacing w:line="592" w:lineRule="exact"/>
              <w:jc w:val="center"/>
              <w:rPr>
                <w:rFonts w:ascii="Times New Roman" w:eastAsia="仿宋_GB2312" w:cs="Times New Roman"/>
                <w:b/>
                <w:bCs/>
                <w:color w:val="auto"/>
                <w:sz w:val="21"/>
                <w:szCs w:val="21"/>
              </w:rPr>
            </w:pPr>
            <w:r>
              <w:rPr>
                <w:rFonts w:ascii="Times New Roman" w:eastAsia="仿宋_GB2312" w:cs="Times New Roman"/>
                <w:b/>
                <w:bCs/>
                <w:color w:val="auto"/>
                <w:sz w:val="21"/>
                <w:szCs w:val="21"/>
              </w:rPr>
              <w:t>评审因素与评分值</w:t>
            </w:r>
          </w:p>
        </w:tc>
        <w:tc>
          <w:tcPr>
            <w:tcW w:w="5548" w:type="dxa"/>
            <w:vMerge w:val="restart"/>
            <w:tcBorders>
              <w:top w:val="single" w:color="auto" w:sz="6" w:space="0"/>
              <w:left w:val="single" w:color="auto" w:sz="6" w:space="0"/>
              <w:bottom w:val="single" w:color="auto" w:sz="6" w:space="0"/>
              <w:right w:val="single" w:color="auto" w:sz="6" w:space="0"/>
            </w:tcBorders>
            <w:vAlign w:val="center"/>
          </w:tcPr>
          <w:p>
            <w:pPr>
              <w:pStyle w:val="6"/>
              <w:spacing w:line="592" w:lineRule="exact"/>
              <w:jc w:val="center"/>
              <w:rPr>
                <w:rFonts w:ascii="Times New Roman" w:eastAsia="仿宋_GB2312" w:cs="Times New Roman"/>
                <w:color w:val="auto"/>
                <w:sz w:val="21"/>
                <w:szCs w:val="21"/>
              </w:rPr>
            </w:pPr>
            <w:r>
              <w:rPr>
                <w:rFonts w:ascii="Times New Roman" w:eastAsia="仿宋_GB2312" w:cs="Times New Roman"/>
                <w:b/>
                <w:bCs/>
                <w:color w:val="auto"/>
                <w:sz w:val="21"/>
                <w:szCs w:val="21"/>
              </w:rPr>
              <w:t>评分标准</w:t>
            </w:r>
          </w:p>
        </w:tc>
      </w:tr>
      <w:tr>
        <w:tblPrEx>
          <w:tblBorders>
            <w:top w:val="single" w:color="auto" w:sz="18" w:space="0"/>
            <w:left w:val="single" w:color="000000" w:sz="12" w:space="0"/>
            <w:bottom w:val="single" w:color="auto" w:sz="18" w:space="0"/>
            <w:right w:val="single" w:color="000000" w:sz="12" w:space="0"/>
            <w:insideH w:val="single" w:color="auto" w:sz="2" w:space="0"/>
            <w:insideV w:val="single" w:color="auto" w:sz="2" w:space="0"/>
          </w:tblBorders>
          <w:tblCellMar>
            <w:top w:w="0" w:type="dxa"/>
            <w:left w:w="108" w:type="dxa"/>
            <w:bottom w:w="0" w:type="dxa"/>
            <w:right w:w="108" w:type="dxa"/>
          </w:tblCellMar>
        </w:tblPrEx>
        <w:trPr>
          <w:trHeight w:val="478" w:hRule="atLeast"/>
          <w:jc w:val="center"/>
        </w:trPr>
        <w:tc>
          <w:tcPr>
            <w:tcW w:w="1290" w:type="dxa"/>
            <w:tcBorders>
              <w:top w:val="single" w:color="auto" w:sz="6" w:space="0"/>
              <w:left w:val="single" w:color="auto" w:sz="6" w:space="0"/>
              <w:bottom w:val="single" w:color="auto" w:sz="6" w:space="0"/>
              <w:right w:val="single" w:color="auto" w:sz="6" w:space="0"/>
            </w:tcBorders>
            <w:vAlign w:val="center"/>
          </w:tcPr>
          <w:p>
            <w:pPr>
              <w:pStyle w:val="6"/>
              <w:spacing w:line="592" w:lineRule="exact"/>
              <w:jc w:val="center"/>
              <w:rPr>
                <w:rFonts w:ascii="Times New Roman" w:eastAsia="仿宋_GB2312" w:cs="Times New Roman"/>
                <w:b/>
                <w:bCs/>
                <w:color w:val="auto"/>
                <w:sz w:val="21"/>
                <w:szCs w:val="21"/>
              </w:rPr>
            </w:pPr>
            <w:r>
              <w:rPr>
                <w:rFonts w:ascii="Times New Roman" w:eastAsia="仿宋_GB2312" w:cs="Times New Roman"/>
                <w:b/>
                <w:bCs/>
                <w:color w:val="auto"/>
                <w:sz w:val="21"/>
                <w:szCs w:val="21"/>
              </w:rPr>
              <w:t>序号</w:t>
            </w:r>
          </w:p>
        </w:tc>
        <w:tc>
          <w:tcPr>
            <w:tcW w:w="1444" w:type="dxa"/>
            <w:tcBorders>
              <w:top w:val="single" w:color="auto" w:sz="6" w:space="0"/>
              <w:left w:val="single" w:color="auto" w:sz="6" w:space="0"/>
              <w:bottom w:val="single" w:color="auto" w:sz="6" w:space="0"/>
              <w:right w:val="single" w:color="auto" w:sz="6" w:space="0"/>
            </w:tcBorders>
            <w:vAlign w:val="center"/>
          </w:tcPr>
          <w:p>
            <w:pPr>
              <w:pStyle w:val="6"/>
              <w:spacing w:line="592" w:lineRule="exact"/>
              <w:jc w:val="center"/>
              <w:rPr>
                <w:rFonts w:ascii="Times New Roman" w:eastAsia="仿宋_GB2312" w:cs="Times New Roman"/>
                <w:b/>
                <w:bCs/>
                <w:color w:val="auto"/>
                <w:sz w:val="21"/>
                <w:szCs w:val="21"/>
              </w:rPr>
            </w:pPr>
            <w:r>
              <w:rPr>
                <w:rFonts w:ascii="Times New Roman" w:eastAsia="仿宋_GB2312" w:cs="Times New Roman"/>
                <w:b/>
                <w:bCs/>
                <w:color w:val="auto"/>
                <w:sz w:val="21"/>
                <w:szCs w:val="21"/>
              </w:rPr>
              <w:t>评审因素</w:t>
            </w:r>
          </w:p>
        </w:tc>
        <w:tc>
          <w:tcPr>
            <w:tcW w:w="1109" w:type="dxa"/>
            <w:tcBorders>
              <w:top w:val="single" w:color="auto" w:sz="6" w:space="0"/>
              <w:left w:val="single" w:color="auto" w:sz="6" w:space="0"/>
              <w:bottom w:val="single" w:color="auto" w:sz="6" w:space="0"/>
              <w:right w:val="single" w:color="auto" w:sz="6" w:space="0"/>
            </w:tcBorders>
            <w:vAlign w:val="center"/>
          </w:tcPr>
          <w:p>
            <w:pPr>
              <w:pStyle w:val="6"/>
              <w:spacing w:line="592" w:lineRule="exact"/>
              <w:jc w:val="center"/>
              <w:rPr>
                <w:rFonts w:ascii="Times New Roman" w:eastAsia="仿宋_GB2312" w:cs="Times New Roman"/>
                <w:b/>
                <w:bCs/>
                <w:color w:val="auto"/>
                <w:sz w:val="21"/>
                <w:szCs w:val="21"/>
              </w:rPr>
            </w:pPr>
            <w:r>
              <w:rPr>
                <w:rFonts w:ascii="Times New Roman" w:eastAsia="仿宋_GB2312" w:cs="Times New Roman"/>
                <w:b/>
                <w:bCs/>
                <w:color w:val="auto"/>
                <w:sz w:val="21"/>
                <w:szCs w:val="21"/>
              </w:rPr>
              <w:t>标准分</w:t>
            </w:r>
          </w:p>
        </w:tc>
        <w:tc>
          <w:tcPr>
            <w:tcW w:w="5548" w:type="dxa"/>
            <w:vMerge w:val="continue"/>
            <w:tcBorders>
              <w:top w:val="single" w:color="auto" w:sz="6" w:space="0"/>
              <w:left w:val="single" w:color="auto" w:sz="6" w:space="0"/>
              <w:bottom w:val="single" w:color="auto" w:sz="6" w:space="0"/>
              <w:right w:val="single" w:color="auto" w:sz="6" w:space="0"/>
            </w:tcBorders>
            <w:vAlign w:val="center"/>
          </w:tcPr>
          <w:p>
            <w:pPr>
              <w:pStyle w:val="6"/>
              <w:spacing w:line="592" w:lineRule="exact"/>
              <w:rPr>
                <w:rFonts w:ascii="Times New Roman" w:eastAsia="仿宋_GB2312" w:cs="Times New Roman"/>
                <w:color w:val="auto"/>
                <w:sz w:val="21"/>
                <w:szCs w:val="21"/>
              </w:rPr>
            </w:pPr>
          </w:p>
        </w:tc>
      </w:tr>
      <w:tr>
        <w:tblPrEx>
          <w:tblBorders>
            <w:top w:val="single" w:color="auto" w:sz="18" w:space="0"/>
            <w:left w:val="single" w:color="000000" w:sz="12" w:space="0"/>
            <w:bottom w:val="single" w:color="auto" w:sz="18" w:space="0"/>
            <w:right w:val="single" w:color="000000" w:sz="12" w:space="0"/>
            <w:insideH w:val="single" w:color="auto" w:sz="2" w:space="0"/>
            <w:insideV w:val="single" w:color="auto" w:sz="2" w:space="0"/>
          </w:tblBorders>
          <w:tblCellMar>
            <w:top w:w="0" w:type="dxa"/>
            <w:left w:w="108" w:type="dxa"/>
            <w:bottom w:w="0" w:type="dxa"/>
            <w:right w:w="108" w:type="dxa"/>
          </w:tblCellMar>
        </w:tblPrEx>
        <w:trPr>
          <w:trHeight w:val="2004" w:hRule="atLeast"/>
          <w:jc w:val="center"/>
        </w:trPr>
        <w:tc>
          <w:tcPr>
            <w:tcW w:w="1290" w:type="dxa"/>
            <w:tcBorders>
              <w:top w:val="single" w:color="auto" w:sz="6" w:space="0"/>
              <w:left w:val="single" w:color="auto" w:sz="6" w:space="0"/>
              <w:bottom w:val="single" w:color="auto" w:sz="6" w:space="0"/>
              <w:right w:val="single" w:color="auto" w:sz="6" w:space="0"/>
            </w:tcBorders>
            <w:vAlign w:val="center"/>
          </w:tcPr>
          <w:p>
            <w:pPr>
              <w:pStyle w:val="6"/>
              <w:spacing w:line="276" w:lineRule="auto"/>
              <w:jc w:val="center"/>
              <w:rPr>
                <w:rFonts w:ascii="Times New Roman" w:eastAsia="仿宋_GB2312" w:cs="Times New Roman"/>
                <w:color w:val="auto"/>
              </w:rPr>
            </w:pPr>
            <w:r>
              <w:rPr>
                <w:rFonts w:ascii="Times New Roman" w:eastAsia="仿宋_GB2312" w:cs="Times New Roman"/>
                <w:color w:val="auto"/>
              </w:rPr>
              <w:t>1</w:t>
            </w:r>
          </w:p>
        </w:tc>
        <w:tc>
          <w:tcPr>
            <w:tcW w:w="1444" w:type="dxa"/>
            <w:tcBorders>
              <w:top w:val="single" w:color="auto" w:sz="6" w:space="0"/>
              <w:left w:val="single" w:color="auto" w:sz="6" w:space="0"/>
              <w:bottom w:val="single" w:color="auto" w:sz="6" w:space="0"/>
              <w:right w:val="single" w:color="auto" w:sz="6" w:space="0"/>
            </w:tcBorders>
            <w:vAlign w:val="center"/>
          </w:tcPr>
          <w:p>
            <w:pPr>
              <w:pStyle w:val="6"/>
              <w:spacing w:line="276" w:lineRule="auto"/>
              <w:jc w:val="center"/>
              <w:rPr>
                <w:rFonts w:hint="default" w:ascii="Times New Roman" w:eastAsia="仿宋_GB2312" w:cs="Times New Roman"/>
                <w:color w:val="auto"/>
                <w:lang w:val="en-US" w:eastAsia="zh-CN"/>
              </w:rPr>
            </w:pPr>
            <w:r>
              <w:rPr>
                <w:rFonts w:hint="eastAsia" w:ascii="Times New Roman" w:eastAsia="仿宋_GB2312" w:cs="Times New Roman"/>
                <w:color w:val="auto"/>
                <w:lang w:val="en-US" w:eastAsia="zh-CN"/>
              </w:rPr>
              <w:t>资质与商誉</w:t>
            </w:r>
          </w:p>
        </w:tc>
        <w:tc>
          <w:tcPr>
            <w:tcW w:w="1109" w:type="dxa"/>
            <w:tcBorders>
              <w:top w:val="single" w:color="auto" w:sz="6" w:space="0"/>
              <w:left w:val="single" w:color="auto" w:sz="6" w:space="0"/>
              <w:bottom w:val="single" w:color="auto" w:sz="6" w:space="0"/>
              <w:right w:val="single" w:color="auto" w:sz="6" w:space="0"/>
            </w:tcBorders>
            <w:vAlign w:val="center"/>
          </w:tcPr>
          <w:p>
            <w:pPr>
              <w:pStyle w:val="6"/>
              <w:spacing w:line="276" w:lineRule="auto"/>
              <w:jc w:val="center"/>
              <w:rPr>
                <w:rFonts w:hint="default" w:ascii="Times New Roman" w:eastAsia="仿宋_GB2312" w:cs="Times New Roman"/>
                <w:color w:val="auto"/>
                <w:lang w:val="en-US" w:eastAsia="zh-CN"/>
              </w:rPr>
            </w:pPr>
            <w:r>
              <w:rPr>
                <w:rFonts w:hint="eastAsia" w:ascii="Times New Roman" w:eastAsia="仿宋_GB2312" w:cs="Times New Roman"/>
                <w:color w:val="auto"/>
                <w:lang w:val="en-US" w:eastAsia="zh-CN"/>
              </w:rPr>
              <w:t>15</w:t>
            </w:r>
          </w:p>
        </w:tc>
        <w:tc>
          <w:tcPr>
            <w:tcW w:w="5548" w:type="dxa"/>
            <w:tcBorders>
              <w:top w:val="single" w:color="auto" w:sz="6" w:space="0"/>
              <w:left w:val="single" w:color="auto" w:sz="6" w:space="0"/>
              <w:bottom w:val="single" w:color="auto" w:sz="6" w:space="0"/>
              <w:right w:val="single" w:color="auto" w:sz="6" w:space="0"/>
            </w:tcBorders>
            <w:vAlign w:val="center"/>
          </w:tcPr>
          <w:p>
            <w:pPr>
              <w:pStyle w:val="6"/>
              <w:spacing w:line="276" w:lineRule="auto"/>
              <w:rPr>
                <w:rFonts w:hint="eastAsia" w:ascii="Times New Roman" w:eastAsia="仿宋_GB2312" w:cs="Times New Roman"/>
                <w:color w:val="auto"/>
              </w:rPr>
            </w:pPr>
            <w:r>
              <w:rPr>
                <w:rFonts w:hint="eastAsia" w:ascii="Times New Roman" w:eastAsia="仿宋_GB2312" w:cs="Times New Roman"/>
                <w:color w:val="auto"/>
              </w:rPr>
              <w:t>1、具有良好的商业信誉，近三年内未被监管机构公布禁止执行或处罚，得5分。</w:t>
            </w:r>
          </w:p>
          <w:p>
            <w:pPr>
              <w:pStyle w:val="6"/>
              <w:spacing w:line="276" w:lineRule="auto"/>
              <w:rPr>
                <w:rFonts w:hint="eastAsia" w:ascii="Times New Roman" w:eastAsia="仿宋_GB2312" w:cs="Times New Roman"/>
                <w:color w:val="auto"/>
              </w:rPr>
            </w:pPr>
            <w:r>
              <w:rPr>
                <w:rFonts w:hint="eastAsia" w:ascii="Times New Roman" w:eastAsia="仿宋_GB2312" w:cs="Times New Roman"/>
                <w:color w:val="auto"/>
              </w:rPr>
              <w:t>2、具有服务主流金融机构先例，每</w:t>
            </w:r>
            <w:r>
              <w:rPr>
                <w:rFonts w:hint="eastAsia" w:ascii="Times New Roman" w:eastAsia="仿宋_GB2312" w:cs="Times New Roman"/>
                <w:color w:val="auto"/>
                <w:lang w:val="en-US" w:eastAsia="zh-CN"/>
              </w:rPr>
              <w:t>提供</w:t>
            </w:r>
            <w:r>
              <w:rPr>
                <w:rFonts w:hint="eastAsia" w:ascii="Times New Roman" w:eastAsia="仿宋_GB2312" w:cs="Times New Roman"/>
                <w:color w:val="auto"/>
              </w:rPr>
              <w:t>一个加2分，</w:t>
            </w:r>
            <w:r>
              <w:rPr>
                <w:rFonts w:ascii="Times New Roman" w:hAnsi="Times New Roman" w:eastAsia="仿宋_GB2312" w:cs="Times New Roman"/>
                <w:kern w:val="0"/>
                <w:sz w:val="24"/>
              </w:rPr>
              <w:t>未提供的不得分</w:t>
            </w:r>
            <w:r>
              <w:rPr>
                <w:rFonts w:hint="eastAsia" w:ascii="Times New Roman" w:eastAsia="仿宋_GB2312" w:cs="Times New Roman"/>
                <w:kern w:val="0"/>
                <w:sz w:val="24"/>
                <w:lang w:eastAsia="zh-CN"/>
              </w:rPr>
              <w:t>，</w:t>
            </w:r>
            <w:r>
              <w:rPr>
                <w:rFonts w:hint="eastAsia" w:ascii="Times New Roman" w:eastAsia="仿宋_GB2312" w:cs="Times New Roman"/>
                <w:kern w:val="0"/>
                <w:sz w:val="24"/>
                <w:lang w:val="en-US" w:eastAsia="zh-CN"/>
              </w:rPr>
              <w:t>最多</w:t>
            </w:r>
            <w:r>
              <w:rPr>
                <w:rFonts w:hint="eastAsia" w:ascii="Times New Roman" w:eastAsia="仿宋_GB2312" w:cs="Times New Roman"/>
                <w:color w:val="auto"/>
              </w:rPr>
              <w:t>10分</w:t>
            </w:r>
            <w:r>
              <w:rPr>
                <w:rFonts w:hint="eastAsia" w:ascii="Times New Roman" w:eastAsia="仿宋_GB2312" w:cs="Times New Roman"/>
                <w:color w:val="auto"/>
                <w:lang w:eastAsia="zh-CN"/>
              </w:rPr>
              <w:t>，</w:t>
            </w:r>
            <w:r>
              <w:rPr>
                <w:rFonts w:hint="eastAsia" w:ascii="Times New Roman" w:eastAsia="仿宋_GB2312" w:cs="Times New Roman"/>
                <w:color w:val="auto"/>
                <w:lang w:val="en-US" w:eastAsia="zh-CN"/>
              </w:rPr>
              <w:t>须提供</w:t>
            </w:r>
            <w:r>
              <w:rPr>
                <w:rFonts w:ascii="Times New Roman" w:hAnsi="Times New Roman" w:eastAsia="仿宋_GB2312" w:cs="Times New Roman"/>
                <w:kern w:val="0"/>
                <w:sz w:val="24"/>
              </w:rPr>
              <w:t>合同扫描件</w:t>
            </w:r>
            <w:r>
              <w:rPr>
                <w:rFonts w:hint="eastAsia" w:ascii="Times New Roman" w:eastAsia="仿宋_GB2312" w:cs="Times New Roman"/>
                <w:kern w:val="0"/>
                <w:sz w:val="24"/>
                <w:lang w:val="en-US" w:eastAsia="zh-CN"/>
              </w:rPr>
              <w:t>作为相应证明</w:t>
            </w:r>
            <w:r>
              <w:rPr>
                <w:rFonts w:hint="eastAsia" w:ascii="Times New Roman" w:eastAsia="仿宋_GB2312" w:cs="Times New Roman"/>
                <w:color w:val="auto"/>
              </w:rPr>
              <w:t>。</w:t>
            </w:r>
          </w:p>
        </w:tc>
      </w:tr>
      <w:tr>
        <w:tblPrEx>
          <w:tblBorders>
            <w:top w:val="single" w:color="auto" w:sz="18" w:space="0"/>
            <w:left w:val="single" w:color="000000" w:sz="12" w:space="0"/>
            <w:bottom w:val="single" w:color="auto" w:sz="18" w:space="0"/>
            <w:right w:val="single" w:color="000000" w:sz="12" w:space="0"/>
            <w:insideH w:val="single" w:color="auto" w:sz="2" w:space="0"/>
            <w:insideV w:val="single" w:color="auto" w:sz="2" w:space="0"/>
          </w:tblBorders>
          <w:tblCellMar>
            <w:top w:w="0" w:type="dxa"/>
            <w:left w:w="108" w:type="dxa"/>
            <w:bottom w:w="0" w:type="dxa"/>
            <w:right w:w="108" w:type="dxa"/>
          </w:tblCellMar>
        </w:tblPrEx>
        <w:trPr>
          <w:trHeight w:val="5160" w:hRule="atLeast"/>
          <w:jc w:val="center"/>
        </w:trPr>
        <w:tc>
          <w:tcPr>
            <w:tcW w:w="1290" w:type="dxa"/>
            <w:tcBorders>
              <w:top w:val="single" w:color="auto" w:sz="6" w:space="0"/>
              <w:left w:val="single" w:color="auto" w:sz="6" w:space="0"/>
              <w:bottom w:val="single" w:color="auto" w:sz="6" w:space="0"/>
              <w:right w:val="single" w:color="auto" w:sz="6" w:space="0"/>
            </w:tcBorders>
            <w:vAlign w:val="center"/>
          </w:tcPr>
          <w:p>
            <w:pPr>
              <w:pStyle w:val="6"/>
              <w:spacing w:line="276" w:lineRule="auto"/>
              <w:jc w:val="center"/>
              <w:rPr>
                <w:rFonts w:ascii="Times New Roman" w:eastAsia="仿宋_GB2312" w:cs="Times New Roman"/>
                <w:color w:val="auto"/>
              </w:rPr>
            </w:pPr>
            <w:r>
              <w:rPr>
                <w:rFonts w:ascii="Times New Roman" w:eastAsia="仿宋_GB2312" w:cs="Times New Roman"/>
                <w:color w:val="auto"/>
              </w:rPr>
              <w:t>2</w:t>
            </w:r>
          </w:p>
        </w:tc>
        <w:tc>
          <w:tcPr>
            <w:tcW w:w="144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76" w:lineRule="auto"/>
              <w:ind w:left="-109" w:leftChars="-52" w:right="-107" w:rightChars="-51"/>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产品与需求匹配程度</w:t>
            </w:r>
          </w:p>
        </w:tc>
        <w:tc>
          <w:tcPr>
            <w:tcW w:w="110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76" w:lineRule="auto"/>
              <w:ind w:left="-109" w:leftChars="-52" w:right="-107" w:rightChars="-51"/>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50</w:t>
            </w:r>
          </w:p>
        </w:tc>
        <w:tc>
          <w:tcPr>
            <w:tcW w:w="5548" w:type="dxa"/>
            <w:tcBorders>
              <w:top w:val="single" w:color="auto" w:sz="6" w:space="0"/>
              <w:left w:val="single" w:color="auto" w:sz="6" w:space="0"/>
              <w:bottom w:val="single" w:color="auto" w:sz="6" w:space="0"/>
              <w:right w:val="single" w:color="auto" w:sz="6" w:space="0"/>
            </w:tcBorders>
            <w:vAlign w:val="center"/>
          </w:tcPr>
          <w:p>
            <w:pPr>
              <w:pStyle w:val="6"/>
              <w:spacing w:line="276" w:lineRule="auto"/>
              <w:rPr>
                <w:rFonts w:hint="eastAsia" w:ascii="Times New Roman" w:eastAsia="仿宋_GB2312" w:cs="Times New Roman"/>
                <w:color w:val="auto"/>
              </w:rPr>
            </w:pPr>
            <w:r>
              <w:rPr>
                <w:rFonts w:hint="eastAsia" w:ascii="Times New Roman" w:eastAsia="仿宋_GB2312" w:cs="Times New Roman"/>
                <w:color w:val="auto"/>
              </w:rPr>
              <w:t>1、提供全面及时的债券一级市场发行及二级市场债券评级、估值、交易报价及成交数据；</w:t>
            </w:r>
          </w:p>
          <w:p>
            <w:pPr>
              <w:pStyle w:val="6"/>
              <w:spacing w:line="276" w:lineRule="auto"/>
              <w:rPr>
                <w:rFonts w:hint="eastAsia" w:ascii="Times New Roman" w:eastAsia="仿宋_GB2312" w:cs="Times New Roman"/>
                <w:color w:val="auto"/>
              </w:rPr>
            </w:pPr>
            <w:r>
              <w:rPr>
                <w:rFonts w:hint="eastAsia" w:ascii="Times New Roman" w:eastAsia="仿宋_GB2312" w:cs="Times New Roman"/>
                <w:color w:val="auto"/>
              </w:rPr>
              <w:t>2、提供覆盖全国的区域经济、财务与债务数据，各省、市、区、县等不同行政级别的主要城投平台数据及评价体系；</w:t>
            </w:r>
          </w:p>
          <w:p>
            <w:pPr>
              <w:pStyle w:val="6"/>
              <w:spacing w:line="276" w:lineRule="auto"/>
              <w:rPr>
                <w:rFonts w:hint="eastAsia" w:ascii="Times New Roman" w:eastAsia="仿宋_GB2312" w:cs="Times New Roman"/>
                <w:color w:val="auto"/>
              </w:rPr>
            </w:pPr>
            <w:r>
              <w:rPr>
                <w:rFonts w:hint="eastAsia" w:ascii="Times New Roman" w:eastAsia="仿宋_GB2312" w:cs="Times New Roman"/>
                <w:color w:val="auto"/>
              </w:rPr>
              <w:t>3、提供全面及时的债券公告、舆情信息；</w:t>
            </w:r>
          </w:p>
          <w:p>
            <w:pPr>
              <w:pStyle w:val="6"/>
              <w:spacing w:line="276" w:lineRule="auto"/>
              <w:rPr>
                <w:rFonts w:hint="eastAsia" w:ascii="Times New Roman" w:eastAsia="仿宋_GB2312" w:cs="Times New Roman"/>
                <w:color w:val="auto"/>
              </w:rPr>
            </w:pPr>
            <w:r>
              <w:rPr>
                <w:rFonts w:hint="eastAsia" w:ascii="Times New Roman" w:eastAsia="仿宋_GB2312" w:cs="Times New Roman"/>
                <w:color w:val="auto"/>
              </w:rPr>
              <w:t>4、提供债券投后管理与监测功能；</w:t>
            </w:r>
          </w:p>
          <w:p>
            <w:pPr>
              <w:pStyle w:val="6"/>
              <w:spacing w:line="276" w:lineRule="auto"/>
              <w:rPr>
                <w:rFonts w:hint="eastAsia" w:ascii="Times New Roman" w:eastAsia="仿宋_GB2312" w:cs="Times New Roman"/>
                <w:color w:val="auto"/>
              </w:rPr>
            </w:pPr>
            <w:r>
              <w:rPr>
                <w:rFonts w:hint="eastAsia" w:ascii="Times New Roman" w:eastAsia="仿宋_GB2312" w:cs="Times New Roman"/>
                <w:color w:val="auto"/>
              </w:rPr>
              <w:t>5、能够归集推送市场主流机构对债券市场的观点、看法、研究成果等，具有债券收益率曲线、利差等市场分析工具。</w:t>
            </w:r>
          </w:p>
          <w:p>
            <w:pPr>
              <w:pStyle w:val="6"/>
              <w:spacing w:line="276" w:lineRule="auto"/>
              <w:rPr>
                <w:rFonts w:ascii="Times New Roman" w:eastAsia="仿宋_GB2312" w:cs="Times New Roman"/>
                <w:color w:val="auto"/>
              </w:rPr>
            </w:pPr>
            <w:r>
              <w:rPr>
                <w:rFonts w:hint="eastAsia" w:ascii="Times New Roman" w:eastAsia="仿宋_GB2312" w:cs="Times New Roman"/>
                <w:color w:val="auto"/>
                <w:lang w:val="en-US" w:eastAsia="zh-CN"/>
              </w:rPr>
              <w:t>满足</w:t>
            </w:r>
            <w:r>
              <w:rPr>
                <w:rFonts w:hint="eastAsia" w:ascii="Times New Roman" w:eastAsia="仿宋_GB2312" w:cs="Times New Roman"/>
                <w:color w:val="auto"/>
              </w:rPr>
              <w:t>以上每一条需求满分10分，由</w:t>
            </w:r>
            <w:r>
              <w:rPr>
                <w:rFonts w:hint="eastAsia" w:ascii="Times New Roman" w:eastAsia="仿宋_GB2312" w:cs="Times New Roman"/>
                <w:color w:val="auto"/>
                <w:lang w:val="en-US" w:eastAsia="zh-CN"/>
              </w:rPr>
              <w:t>评审小组</w:t>
            </w:r>
            <w:r>
              <w:rPr>
                <w:rFonts w:hint="eastAsia" w:ascii="Times New Roman" w:eastAsia="仿宋_GB2312" w:cs="Times New Roman"/>
                <w:color w:val="auto"/>
              </w:rPr>
              <w:t xml:space="preserve">根据匹配程度打分。  </w:t>
            </w:r>
          </w:p>
        </w:tc>
      </w:tr>
      <w:tr>
        <w:tblPrEx>
          <w:tblBorders>
            <w:top w:val="single" w:color="auto" w:sz="18" w:space="0"/>
            <w:left w:val="single" w:color="000000" w:sz="12" w:space="0"/>
            <w:bottom w:val="single" w:color="auto" w:sz="18" w:space="0"/>
            <w:right w:val="single" w:color="000000" w:sz="12" w:space="0"/>
            <w:insideH w:val="single" w:color="auto" w:sz="2" w:space="0"/>
            <w:insideV w:val="single" w:color="auto" w:sz="2" w:space="0"/>
          </w:tblBorders>
          <w:tblCellMar>
            <w:top w:w="0" w:type="dxa"/>
            <w:left w:w="108" w:type="dxa"/>
            <w:bottom w:w="0" w:type="dxa"/>
            <w:right w:w="108" w:type="dxa"/>
          </w:tblCellMar>
        </w:tblPrEx>
        <w:trPr>
          <w:trHeight w:val="3163" w:hRule="atLeast"/>
          <w:jc w:val="center"/>
        </w:trPr>
        <w:tc>
          <w:tcPr>
            <w:tcW w:w="1290" w:type="dxa"/>
            <w:tcBorders>
              <w:top w:val="single" w:color="auto" w:sz="6" w:space="0"/>
              <w:left w:val="single" w:color="auto" w:sz="6" w:space="0"/>
              <w:bottom w:val="single" w:color="auto" w:sz="6" w:space="0"/>
              <w:right w:val="single" w:color="auto" w:sz="6" w:space="0"/>
            </w:tcBorders>
            <w:vAlign w:val="center"/>
          </w:tcPr>
          <w:p>
            <w:pPr>
              <w:pStyle w:val="6"/>
              <w:spacing w:line="592" w:lineRule="exact"/>
              <w:jc w:val="center"/>
              <w:rPr>
                <w:rFonts w:ascii="Times New Roman" w:eastAsia="仿宋_GB2312" w:cs="Times New Roman"/>
                <w:color w:val="auto"/>
              </w:rPr>
            </w:pPr>
            <w:r>
              <w:rPr>
                <w:rFonts w:ascii="Times New Roman" w:eastAsia="仿宋_GB2312" w:cs="Times New Roman"/>
                <w:color w:val="auto"/>
              </w:rPr>
              <w:t>3</w:t>
            </w:r>
          </w:p>
        </w:tc>
        <w:tc>
          <w:tcPr>
            <w:tcW w:w="144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592" w:lineRule="exact"/>
              <w:ind w:left="-109" w:leftChars="-52" w:right="-107" w:rightChars="-51"/>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综合报价</w:t>
            </w:r>
          </w:p>
        </w:tc>
        <w:tc>
          <w:tcPr>
            <w:tcW w:w="110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592" w:lineRule="exact"/>
              <w:ind w:left="-109" w:leftChars="-52" w:right="-107" w:rightChars="-51"/>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554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76" w:lineRule="auto"/>
              <w:ind w:right="-107" w:rightChars="-51"/>
              <w:jc w:val="left"/>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账号数量少于6个，或价格大于10万的不得分；账号数量不少于6个，价格小于或等于10万的得分。单账号价格最低的得25分，单账号价格较最低价高的，得分根据其高出的比例，自25分等比例相应扣减直至0分为止。</w:t>
            </w:r>
          </w:p>
          <w:p>
            <w:pPr>
              <w:widowControl/>
              <w:adjustRightInd w:val="0"/>
              <w:snapToGrid w:val="0"/>
              <w:spacing w:line="276" w:lineRule="auto"/>
              <w:ind w:right="-107" w:rightChars="-51"/>
              <w:jc w:val="left"/>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计算公式：若单账号报价最低，报价得分为25分；</w:t>
            </w:r>
          </w:p>
          <w:p>
            <w:pPr>
              <w:widowControl/>
              <w:adjustRightInd w:val="0"/>
              <w:snapToGrid w:val="0"/>
              <w:spacing w:line="276" w:lineRule="auto"/>
              <w:ind w:right="-107" w:rightChars="-51"/>
              <w:jc w:val="left"/>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若单账号报价高于最低报价，报价得分=25*（1-（单账号报价-单账号最低报价）/单账号最低报价）</w:t>
            </w:r>
          </w:p>
        </w:tc>
      </w:tr>
      <w:tr>
        <w:tblPrEx>
          <w:tblBorders>
            <w:top w:val="single" w:color="auto" w:sz="18" w:space="0"/>
            <w:left w:val="single" w:color="000000" w:sz="12" w:space="0"/>
            <w:bottom w:val="single" w:color="auto" w:sz="18" w:space="0"/>
            <w:right w:val="single" w:color="000000" w:sz="12" w:space="0"/>
            <w:insideH w:val="single" w:color="auto" w:sz="2" w:space="0"/>
            <w:insideV w:val="single" w:color="auto" w:sz="2" w:space="0"/>
          </w:tblBorders>
          <w:tblCellMar>
            <w:top w:w="0" w:type="dxa"/>
            <w:left w:w="108" w:type="dxa"/>
            <w:bottom w:w="0" w:type="dxa"/>
            <w:right w:w="108" w:type="dxa"/>
          </w:tblCellMar>
        </w:tblPrEx>
        <w:trPr>
          <w:trHeight w:val="1250" w:hRule="atLeast"/>
          <w:jc w:val="center"/>
        </w:trPr>
        <w:tc>
          <w:tcPr>
            <w:tcW w:w="129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76" w:lineRule="auto"/>
              <w:ind w:left="-109" w:leftChars="-52" w:right="-107" w:rightChars="-51"/>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144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76" w:lineRule="auto"/>
              <w:ind w:left="-109" w:leftChars="-52" w:right="-107" w:rightChars="-51"/>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售后服务</w:t>
            </w:r>
          </w:p>
        </w:tc>
        <w:tc>
          <w:tcPr>
            <w:tcW w:w="110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76" w:lineRule="auto"/>
              <w:ind w:left="-109" w:leftChars="-52" w:right="-107" w:rightChars="-51"/>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10</w:t>
            </w:r>
          </w:p>
        </w:tc>
        <w:tc>
          <w:tcPr>
            <w:tcW w:w="554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76" w:lineRule="auto"/>
              <w:ind w:right="-107" w:rightChars="-51"/>
              <w:jc w:val="lef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售后服务规划较为完善的得8-10分；售后服务规划一般的得4-7分；售后服务规划不佳的得0-3分。</w:t>
            </w:r>
          </w:p>
        </w:tc>
      </w:tr>
    </w:tbl>
    <w:p>
      <w:pPr>
        <w:rPr>
          <w:rFonts w:hint="eastAsia" w:ascii="仿宋_GB2312" w:hAnsi="仿宋_GB2312" w:eastAsia="仿宋_GB2312" w:cs="仿宋_GB2312"/>
          <w:sz w:val="32"/>
          <w:szCs w:val="32"/>
        </w:rPr>
      </w:pPr>
    </w:p>
    <w:p>
      <w:pPr>
        <w:ind w:firstLine="739" w:firstLineChars="230"/>
        <w:rPr>
          <w:rFonts w:hint="eastAsia" w:ascii="仿宋_GB2312" w:hAnsi="黑体" w:eastAsia="仿宋_GB2312" w:cs="黑体"/>
          <w:b/>
          <w:sz w:val="32"/>
          <w:szCs w:val="32"/>
        </w:rPr>
      </w:pPr>
      <w:bookmarkStart w:id="3" w:name="OLE_LINK2"/>
      <w:r>
        <w:rPr>
          <w:rFonts w:hint="eastAsia" w:ascii="仿宋_GB2312" w:hAnsi="黑体" w:eastAsia="仿宋_GB2312" w:cs="黑体"/>
          <w:b/>
          <w:sz w:val="32"/>
          <w:szCs w:val="32"/>
        </w:rPr>
        <w:t>四、报价要求</w:t>
      </w:r>
    </w:p>
    <w:p>
      <w:pPr>
        <w:ind w:firstLine="640" w:firstLineChars="200"/>
        <w:rPr>
          <w:rFonts w:hint="eastAsia" w:ascii="仿宋_GB2312" w:hAnsi="仿宋_GB2312" w:eastAsia="仿宋_GB2312" w:cs="仿宋_GB2312"/>
          <w:sz w:val="32"/>
          <w:szCs w:val="32"/>
        </w:rPr>
      </w:pPr>
      <w:r>
        <w:rPr>
          <w:rFonts w:hint="eastAsia" w:ascii="仿宋_GB2312" w:hAnsi="宋体" w:eastAsia="仿宋_GB2312" w:cs="宋体"/>
          <w:sz w:val="32"/>
          <w:szCs w:val="32"/>
        </w:rPr>
        <w:t>本次拟</w:t>
      </w:r>
      <w:r>
        <w:rPr>
          <w:rFonts w:hint="eastAsia" w:ascii="仿宋_GB2312" w:hAnsi="宋体" w:eastAsia="仿宋_GB2312" w:cs="宋体"/>
          <w:sz w:val="32"/>
          <w:szCs w:val="32"/>
          <w:lang w:val="en-US" w:eastAsia="zh-CN"/>
        </w:rPr>
        <w:t>采购债券市场资讯数据终端账号数量不少于6个，采购</w:t>
      </w:r>
      <w:r>
        <w:rPr>
          <w:rFonts w:hint="eastAsia" w:ascii="仿宋_GB2312" w:hAnsi="宋体" w:eastAsia="仿宋_GB2312" w:cs="宋体"/>
          <w:sz w:val="32"/>
          <w:szCs w:val="32"/>
        </w:rPr>
        <w:t>预算金额不超过</w:t>
      </w:r>
      <w:r>
        <w:rPr>
          <w:rFonts w:hint="eastAsia" w:ascii="仿宋_GB2312" w:hAnsi="宋体" w:eastAsia="仿宋_GB2312" w:cs="宋体"/>
          <w:sz w:val="32"/>
          <w:szCs w:val="32"/>
          <w:lang w:val="en-US" w:eastAsia="zh-CN"/>
        </w:rPr>
        <w:t>人民币</w:t>
      </w:r>
      <w:r>
        <w:rPr>
          <w:rFonts w:hint="eastAsia" w:ascii="仿宋_GB2312" w:hAnsi="宋体" w:eastAsia="仿宋_GB2312" w:cs="宋体"/>
          <w:sz w:val="32"/>
          <w:szCs w:val="32"/>
        </w:rPr>
        <w:t>10万元</w:t>
      </w:r>
      <w:r>
        <w:rPr>
          <w:rFonts w:hint="eastAsia" w:ascii="仿宋_GB2312" w:hAnsi="宋体" w:eastAsia="仿宋_GB2312" w:cs="宋体"/>
          <w:sz w:val="32"/>
          <w:szCs w:val="32"/>
          <w:lang w:val="en-US" w:eastAsia="zh-CN"/>
        </w:rPr>
        <w:t>/年</w:t>
      </w:r>
      <w:r>
        <w:rPr>
          <w:rFonts w:hint="eastAsia" w:ascii="仿宋_GB2312" w:hAnsi="仿宋_GB2312" w:eastAsia="仿宋_GB2312" w:cs="仿宋_GB2312"/>
          <w:sz w:val="32"/>
          <w:szCs w:val="32"/>
        </w:rPr>
        <w:t>，超过无效。</w:t>
      </w:r>
    </w:p>
    <w:p>
      <w:pPr>
        <w:ind w:firstLine="739" w:firstLineChars="230"/>
        <w:rPr>
          <w:rFonts w:hint="eastAsia" w:ascii="仿宋_GB2312" w:hAnsi="黑体" w:eastAsia="仿宋_GB2312" w:cs="黑体"/>
          <w:b/>
          <w:sz w:val="32"/>
          <w:szCs w:val="32"/>
          <w:lang w:eastAsia="zh-CN"/>
        </w:rPr>
      </w:pPr>
      <w:r>
        <w:rPr>
          <w:rFonts w:hint="eastAsia" w:ascii="仿宋_GB2312" w:hAnsi="黑体" w:eastAsia="仿宋_GB2312" w:cs="黑体"/>
          <w:b/>
          <w:sz w:val="32"/>
          <w:szCs w:val="32"/>
        </w:rPr>
        <w:t>五、</w:t>
      </w:r>
      <w:r>
        <w:rPr>
          <w:rFonts w:hint="eastAsia" w:ascii="仿宋_GB2312" w:hAnsi="黑体" w:eastAsia="仿宋_GB2312" w:cs="黑体"/>
          <w:b/>
          <w:sz w:val="32"/>
          <w:szCs w:val="32"/>
          <w:lang w:val="en-US" w:eastAsia="zh-CN"/>
        </w:rPr>
        <w:t>服务期限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期限为自正式签订合同之日起</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p>
    <w:bookmarkEnd w:id="3"/>
    <w:p>
      <w:pPr>
        <w:ind w:firstLine="739" w:firstLineChars="230"/>
        <w:rPr>
          <w:rFonts w:hint="eastAsia" w:ascii="仿宋_GB2312" w:hAnsi="黑体" w:eastAsia="仿宋_GB2312" w:cs="黑体"/>
          <w:b/>
          <w:sz w:val="32"/>
          <w:szCs w:val="32"/>
        </w:rPr>
      </w:pPr>
      <w:r>
        <w:rPr>
          <w:rFonts w:hint="eastAsia" w:ascii="仿宋_GB2312" w:hAnsi="黑体" w:eastAsia="仿宋_GB2312" w:cs="黑体"/>
          <w:b/>
          <w:sz w:val="32"/>
          <w:szCs w:val="32"/>
        </w:rPr>
        <w:t>六、支付方式</w:t>
      </w:r>
    </w:p>
    <w:p>
      <w:pPr>
        <w:ind w:firstLine="640" w:firstLineChars="200"/>
        <w:rPr>
          <w:rFonts w:ascii="仿宋_GB2312" w:hAnsi="仿宋_GB2312" w:eastAsia="仿宋_GB2312" w:cs="仿宋_GB2312"/>
          <w:sz w:val="32"/>
          <w:szCs w:val="32"/>
        </w:rPr>
      </w:pPr>
      <w:bookmarkStart w:id="4" w:name="OLE_LINK3"/>
      <w:r>
        <w:rPr>
          <w:rFonts w:hint="eastAsia" w:ascii="仿宋_GB2312" w:hAnsi="仿宋_GB2312" w:eastAsia="仿宋_GB2312" w:cs="仿宋_GB2312"/>
          <w:sz w:val="32"/>
          <w:szCs w:val="32"/>
        </w:rPr>
        <w:t>在公司履行完相关程序后正式签订合同，</w:t>
      </w:r>
      <w:r>
        <w:rPr>
          <w:rFonts w:hint="eastAsia" w:ascii="仿宋_GB2312" w:hAnsi="仿宋_GB2312" w:eastAsia="仿宋_GB2312" w:cs="仿宋_GB2312"/>
          <w:sz w:val="32"/>
          <w:szCs w:val="32"/>
          <w:lang w:val="en-US" w:eastAsia="zh-CN"/>
        </w:rPr>
        <w:t>合同一年一签，</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val="en-US" w:eastAsia="zh-CN"/>
        </w:rPr>
        <w:t>按合同年度支付。</w:t>
      </w:r>
    </w:p>
    <w:bookmarkEnd w:id="4"/>
    <w:p>
      <w:pPr>
        <w:ind w:firstLine="739" w:firstLineChars="230"/>
        <w:rPr>
          <w:rFonts w:hint="default" w:ascii="仿宋_GB2312" w:hAnsi="黑体" w:eastAsia="仿宋_GB2312" w:cs="黑体"/>
          <w:b/>
          <w:sz w:val="32"/>
          <w:szCs w:val="32"/>
          <w:lang w:val="en-US" w:eastAsia="zh-CN"/>
        </w:rPr>
      </w:pPr>
      <w:r>
        <w:rPr>
          <w:rFonts w:hint="eastAsia" w:ascii="仿宋_GB2312" w:hAnsi="黑体" w:eastAsia="仿宋_GB2312" w:cs="黑体"/>
          <w:b/>
          <w:sz w:val="32"/>
          <w:szCs w:val="32"/>
        </w:rPr>
        <w:t>七、提交响应文件</w:t>
      </w:r>
      <w:r>
        <w:rPr>
          <w:rFonts w:hint="eastAsia" w:ascii="仿宋_GB2312" w:hAnsi="黑体" w:eastAsia="仿宋_GB2312" w:cs="黑体"/>
          <w:b/>
          <w:sz w:val="32"/>
          <w:szCs w:val="32"/>
          <w:lang w:val="en-US" w:eastAsia="zh-CN"/>
        </w:rPr>
        <w:t>及评标时间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自比选文件发出（发布）之日起至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bookmarkStart w:id="5" w:name="_GoBack"/>
      <w:bookmarkEnd w:id="5"/>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前，送达或邮寄至：合肥市蜀山区祁门路1688号兴泰金融广场1</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以下为响应文件要求，需加盖公章：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（一）投标人基本情况介绍（投标人企业简介、相关业绩证明资料等）；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（二）投标人营业执照复印件以及近三年在行业内从事相关工作未受到政府部门给予不良记录或行政处罚的声明；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（三）法人代表证明及法人代表身份证复印件；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产品功能、</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及售后服务方案</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评标时间：</w:t>
      </w:r>
      <w:r>
        <w:rPr>
          <w:rFonts w:hint="default" w:ascii="仿宋_GB2312" w:hAnsi="仿宋_GB2312" w:eastAsia="仿宋_GB2312" w:cs="仿宋_GB2312"/>
          <w:sz w:val="32"/>
          <w:szCs w:val="32"/>
        </w:rPr>
        <w:t>2025年8月</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default" w:ascii="仿宋_GB2312" w:hAnsi="仿宋_GB2312" w:eastAsia="仿宋_GB2312" w:cs="仿宋_GB2312"/>
          <w:sz w:val="32"/>
          <w:szCs w:val="32"/>
        </w:rPr>
        <w:t>。评标地点：安徽省合肥市祁门路1688号兴泰金融广场。</w:t>
      </w:r>
    </w:p>
    <w:p>
      <w:pPr>
        <w:ind w:firstLine="739" w:firstLineChars="230"/>
        <w:rPr>
          <w:rFonts w:ascii="仿宋_GB2312" w:hAnsi="黑体" w:eastAsia="仿宋_GB2312" w:cs="黑体"/>
          <w:b/>
          <w:sz w:val="32"/>
          <w:szCs w:val="32"/>
        </w:rPr>
      </w:pPr>
      <w:r>
        <w:rPr>
          <w:rFonts w:hint="eastAsia" w:ascii="仿宋_GB2312" w:hAnsi="黑体" w:eastAsia="仿宋_GB2312" w:cs="黑体"/>
          <w:b/>
          <w:sz w:val="32"/>
          <w:szCs w:val="32"/>
        </w:rPr>
        <w:t>八、联系方式</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rPr>
        <w:t>经理，电话：0551-63</w:t>
      </w:r>
      <w:r>
        <w:rPr>
          <w:rFonts w:hint="eastAsia" w:ascii="仿宋_GB2312" w:hAnsi="仿宋_GB2312" w:eastAsia="仿宋_GB2312" w:cs="仿宋_GB2312"/>
          <w:sz w:val="32"/>
          <w:szCs w:val="32"/>
          <w:lang w:val="en-US" w:eastAsia="zh-CN"/>
        </w:rPr>
        <w:t>753190</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安徽省兴泰融资担保集团有限公司</w:t>
      </w:r>
    </w:p>
    <w:p>
      <w:pPr>
        <w:jc w:val="right"/>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EB906"/>
    <w:multiLevelType w:val="singleLevel"/>
    <w:tmpl w:val="AE6EB9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D7A5C"/>
    <w:rsid w:val="1044249E"/>
    <w:rsid w:val="182D38F3"/>
    <w:rsid w:val="24D704DD"/>
    <w:rsid w:val="4A9C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2025-07-31T07:45:00Z</dcterms:created>
  <dc:creator>李</dc:creator>
  <cp:lastModifiedBy>糖橘子</cp:lastModifiedBy>
  <dcterms:modified xsi:type="dcterms:W3CDTF">2025-08-08T00:41:47Z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2284A04EA48D4324878A54B99311B852</vt:lpwstr>
  </property>
</Properties>
</file>