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明光路34号都市大厦B座一楼大厅北侧</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明光路34号都市大厦B座一楼大厅北侧。</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5280</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lang w:eastAsia="zh-CN"/>
        </w:rPr>
        <w:t>承租人在接收房屋前需缴纳</w:t>
      </w:r>
      <w:r>
        <w:rPr>
          <w:rFonts w:hint="eastAsia" w:ascii="方正仿宋_GB2312" w:hAnsi="方正仿宋_GB2312" w:eastAsia="方正仿宋_GB2312" w:cs="方正仿宋_GB2312"/>
          <w:color w:val="000000"/>
          <w:sz w:val="32"/>
          <w:szCs w:val="32"/>
          <w:lang w:val="en-US" w:eastAsia="zh-CN"/>
        </w:rPr>
        <w:t>1年</w:t>
      </w:r>
      <w:r>
        <w:rPr>
          <w:rFonts w:hint="eastAsia" w:ascii="方正仿宋_GB2312" w:hAnsi="方正仿宋_GB2312" w:eastAsia="方正仿宋_GB2312" w:cs="方正仿宋_GB2312"/>
          <w:color w:val="000000"/>
          <w:sz w:val="32"/>
          <w:szCs w:val="32"/>
          <w:lang w:eastAsia="zh-CN"/>
        </w:rPr>
        <w:t>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bookmarkStart w:id="1" w:name="_GoBack"/>
      <w:bookmarkEnd w:id="1"/>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5</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明光路34号都市大厦B座一楼大厅北侧</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明光路34号都市大厦B座一楼大厅北侧</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5280</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3DDEAAD-FDE2-47DF-BC09-A7E331900F63}"/>
  </w:font>
  <w:font w:name="方正仿宋_GB2312">
    <w:panose1 w:val="02000000000000000000"/>
    <w:charset w:val="86"/>
    <w:family w:val="auto"/>
    <w:pitch w:val="default"/>
    <w:sig w:usb0="A00002BF" w:usb1="184F6CFA" w:usb2="00000012" w:usb3="00000000" w:csb0="00040001" w:csb1="00000000"/>
    <w:embedRegular r:id="rId2" w:fontKey="{B10E893F-1D2C-4128-ACEC-B1BBC6198C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2121F6"/>
    <w:rsid w:val="08A66C7F"/>
    <w:rsid w:val="08CF2961"/>
    <w:rsid w:val="08DA7A5A"/>
    <w:rsid w:val="094D6E50"/>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6FB569B5"/>
    <w:rsid w:val="6FE84E1E"/>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1060</Words>
  <Characters>1107</Characters>
  <Lines>0</Lines>
  <Paragraphs>0</Paragraphs>
  <TotalTime>46</TotalTime>
  <ScaleCrop>false</ScaleCrop>
  <LinksUpToDate>false</LinksUpToDate>
  <CharactersWithSpaces>1205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2026-05-19T08:20:32Z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